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A1A7" w14:textId="17518A2A" w:rsidR="00664854" w:rsidRDefault="00AB2D4F" w:rsidP="00C22A90">
      <w:pPr>
        <w:jc w:val="both"/>
        <w:rPr>
          <w:rStyle w:val="rynqvb"/>
          <w:b/>
          <w:bCs/>
          <w:u w:val="single"/>
          <w:lang w:val="en"/>
        </w:rPr>
      </w:pPr>
      <w:r w:rsidRPr="00863DCB">
        <w:rPr>
          <w:rStyle w:val="rynqvb"/>
          <w:b/>
          <w:bCs/>
          <w:u w:val="single"/>
          <w:lang w:val="en"/>
        </w:rPr>
        <w:t>Frequently asked questions/answers regarding the reporting obligation of Article 5r of Regulation 833/2014.</w:t>
      </w:r>
    </w:p>
    <w:p w14:paraId="46CA75DF" w14:textId="77777777" w:rsidR="005720B6" w:rsidRDefault="005720B6" w:rsidP="00DF5032">
      <w:pPr>
        <w:jc w:val="both"/>
        <w:rPr>
          <w:rStyle w:val="Emphasis"/>
          <w:b/>
          <w:bCs/>
          <w:color w:val="000000"/>
          <w:lang w:val="en-GB"/>
        </w:rPr>
      </w:pPr>
      <w:r>
        <w:rPr>
          <w:rStyle w:val="Strong"/>
          <w:rFonts w:ascii="Calibri" w:hAnsi="Calibri" w:cs="Calibri"/>
          <w:color w:val="000000"/>
          <w:lang w:val="en-GB"/>
        </w:rPr>
        <w:t>Important:</w:t>
      </w:r>
      <w:r>
        <w:rPr>
          <w:rStyle w:val="xapple-converted-space"/>
          <w:b/>
          <w:bCs/>
          <w:color w:val="000000"/>
          <w:lang w:val="en-GB"/>
        </w:rPr>
        <w:t> </w:t>
      </w:r>
      <w:r>
        <w:rPr>
          <w:rStyle w:val="Emphasis"/>
          <w:rFonts w:ascii="Calibri" w:hAnsi="Calibri" w:cs="Calibri"/>
          <w:b/>
          <w:bCs/>
          <w:color w:val="000000"/>
          <w:lang w:val="en-GB"/>
        </w:rPr>
        <w:t>This guidance is provided on an informal basis and</w:t>
      </w:r>
      <w:r>
        <w:rPr>
          <w:rStyle w:val="xapple-converted-space"/>
          <w:b/>
          <w:bCs/>
          <w:i/>
          <w:iCs/>
          <w:color w:val="000000"/>
          <w:lang w:val="en-GB"/>
        </w:rPr>
        <w:t> </w:t>
      </w:r>
      <w:r>
        <w:rPr>
          <w:rStyle w:val="Emphasis"/>
          <w:rFonts w:ascii="Calibri" w:hAnsi="Calibri" w:cs="Calibri"/>
          <w:b/>
          <w:bCs/>
          <w:color w:val="212121"/>
          <w:lang w:val="en-GB"/>
        </w:rPr>
        <w:t>should not be construed as overriding the authoritative guidance that the European Commission is providing</w:t>
      </w:r>
      <w:r>
        <w:rPr>
          <w:rStyle w:val="Emphasis"/>
          <w:rFonts w:ascii="Calibri" w:hAnsi="Calibri" w:cs="Calibri"/>
          <w:b/>
          <w:bCs/>
          <w:color w:val="000000"/>
          <w:lang w:val="en-GB"/>
        </w:rPr>
        <w:t>.</w:t>
      </w:r>
    </w:p>
    <w:p w14:paraId="0F0ED33D" w14:textId="77777777" w:rsidR="005720B6" w:rsidRPr="005720B6" w:rsidRDefault="005720B6" w:rsidP="00C22A90">
      <w:pPr>
        <w:jc w:val="both"/>
        <w:rPr>
          <w:u w:val="single"/>
          <w:lang w:val="en-GB"/>
        </w:rPr>
      </w:pPr>
    </w:p>
    <w:p w14:paraId="00C59DC5" w14:textId="1E9635B9" w:rsidR="00C22A90" w:rsidRPr="002C6C61" w:rsidRDefault="00C22A90" w:rsidP="00C22A90">
      <w:pPr>
        <w:jc w:val="both"/>
        <w:rPr>
          <w:lang w:val="en-US"/>
        </w:rPr>
      </w:pPr>
      <w:r>
        <w:t xml:space="preserve">1) </w:t>
      </w:r>
      <w:r w:rsidR="00AB2D4F">
        <w:t xml:space="preserve">Please </w:t>
      </w:r>
      <w:r w:rsidR="001136C9">
        <w:rPr>
          <w:rStyle w:val="rynqvb"/>
          <w:lang w:val="en"/>
        </w:rPr>
        <w:t>confirm</w:t>
      </w:r>
      <w:r w:rsidR="00AB2D4F">
        <w:rPr>
          <w:rStyle w:val="rynqvb"/>
          <w:lang w:val="en"/>
        </w:rPr>
        <w:t xml:space="preserve"> that the first reporting period for paragraph 1 of article 5r is the first quarter of the year 2024 with a reporting date of May 1, 2024.</w:t>
      </w:r>
    </w:p>
    <w:p w14:paraId="38423F20" w14:textId="77777777" w:rsidR="00C22A90" w:rsidRDefault="00C22A90" w:rsidP="00C22A90">
      <w:pPr>
        <w:jc w:val="both"/>
        <w:rPr>
          <w:lang w:val="en-US"/>
        </w:rPr>
      </w:pPr>
      <w:r>
        <w:rPr>
          <w:lang w:val="en-US"/>
        </w:rPr>
        <w:t>Answer:</w:t>
      </w:r>
    </w:p>
    <w:p w14:paraId="2089A39B" w14:textId="5289F192" w:rsidR="00C22A90" w:rsidRPr="00323B12" w:rsidRDefault="00C22A90" w:rsidP="00C22A90">
      <w:pPr>
        <w:rPr>
          <w:i/>
          <w:iCs/>
          <w:lang w:val="en-US"/>
        </w:rPr>
      </w:pPr>
      <w:r>
        <w:rPr>
          <w:i/>
          <w:iCs/>
          <w:lang w:val="en-US"/>
        </w:rPr>
        <w:t xml:space="preserve">The reporting of Q1 </w:t>
      </w:r>
      <w:r w:rsidR="003876DC">
        <w:rPr>
          <w:i/>
          <w:iCs/>
          <w:lang w:val="en-US"/>
        </w:rPr>
        <w:t xml:space="preserve">for </w:t>
      </w:r>
      <w:proofErr w:type="gramStart"/>
      <w:r w:rsidR="003876DC">
        <w:rPr>
          <w:i/>
          <w:iCs/>
          <w:lang w:val="en-US"/>
        </w:rPr>
        <w:t>par.(</w:t>
      </w:r>
      <w:proofErr w:type="gramEnd"/>
      <w:r w:rsidR="003876DC">
        <w:rPr>
          <w:i/>
          <w:iCs/>
          <w:lang w:val="en-US"/>
        </w:rPr>
        <w:t xml:space="preserve">1) of article 5r of Regulation 833/2014 </w:t>
      </w:r>
      <w:r>
        <w:rPr>
          <w:i/>
          <w:iCs/>
          <w:lang w:val="en-US"/>
        </w:rPr>
        <w:t>should be done on 1 May</w:t>
      </w:r>
      <w:r w:rsidR="00323B12" w:rsidRPr="002C6C61">
        <w:rPr>
          <w:i/>
          <w:iCs/>
          <w:lang w:val="en-US"/>
        </w:rPr>
        <w:t>.</w:t>
      </w:r>
    </w:p>
    <w:p w14:paraId="5356F699" w14:textId="77777777" w:rsidR="00C22A90" w:rsidRPr="00060EBB" w:rsidRDefault="00C22A90" w:rsidP="00C22A90">
      <w:pPr>
        <w:jc w:val="both"/>
        <w:rPr>
          <w:lang w:val="en-US"/>
        </w:rPr>
      </w:pPr>
    </w:p>
    <w:p w14:paraId="725D9F7C" w14:textId="5857752D" w:rsidR="00C22A90" w:rsidRPr="002579D1" w:rsidRDefault="00C22A90" w:rsidP="00C22A90">
      <w:pPr>
        <w:rPr>
          <w:i/>
          <w:iCs/>
          <w:lang w:val="en-US"/>
        </w:rPr>
      </w:pPr>
      <w:r w:rsidRPr="002C6C61">
        <w:rPr>
          <w:lang w:val="en-US"/>
        </w:rPr>
        <w:t xml:space="preserve">2) </w:t>
      </w:r>
      <w:r w:rsidR="002C6C61">
        <w:rPr>
          <w:rStyle w:val="rynqvb"/>
          <w:lang w:val="en"/>
        </w:rPr>
        <w:t>C</w:t>
      </w:r>
      <w:r w:rsidR="00AB2D4F">
        <w:rPr>
          <w:rStyle w:val="rynqvb"/>
          <w:lang w:val="en"/>
        </w:rPr>
        <w:t xml:space="preserve">onfirm whether the meaning of the term ΄Funds΄ </w:t>
      </w:r>
      <w:r w:rsidR="002C6C61">
        <w:rPr>
          <w:rStyle w:val="rynqvb"/>
          <w:lang w:val="en"/>
        </w:rPr>
        <w:t>includes</w:t>
      </w:r>
      <w:r w:rsidR="00AB2D4F">
        <w:rPr>
          <w:rStyle w:val="rynqvb"/>
          <w:lang w:val="en"/>
        </w:rPr>
        <w:t xml:space="preserve"> only transfers of money within the banking system and not any other assets (</w:t>
      </w:r>
      <w:proofErr w:type="spellStart"/>
      <w:r w:rsidR="00AB2D4F">
        <w:rPr>
          <w:rStyle w:val="rynqvb"/>
          <w:lang w:val="en"/>
        </w:rPr>
        <w:t>eg</w:t>
      </w:r>
      <w:proofErr w:type="spellEnd"/>
      <w:r w:rsidR="00AB2D4F">
        <w:rPr>
          <w:rStyle w:val="rynqvb"/>
          <w:lang w:val="en"/>
        </w:rPr>
        <w:t>, shares, cryptocurrencies, receivables, real estate, etc.</w:t>
      </w:r>
      <w:proofErr w:type="gramStart"/>
      <w:r w:rsidR="00AB2D4F">
        <w:rPr>
          <w:rStyle w:val="rynqvb"/>
          <w:lang w:val="en"/>
        </w:rPr>
        <w:t>).</w:t>
      </w:r>
      <w:r w:rsidRPr="002579D1">
        <w:rPr>
          <w:i/>
          <w:iCs/>
          <w:lang w:val="en-US"/>
        </w:rPr>
        <w:t>The</w:t>
      </w:r>
      <w:proofErr w:type="gramEnd"/>
      <w:r w:rsidRPr="002579D1">
        <w:rPr>
          <w:i/>
          <w:iCs/>
          <w:lang w:val="en-US"/>
        </w:rPr>
        <w:t xml:space="preserve"> Regulation reads as follows:</w:t>
      </w:r>
    </w:p>
    <w:p w14:paraId="0CBC3C28" w14:textId="77777777" w:rsidR="00C22A90" w:rsidRPr="002579D1" w:rsidRDefault="00C22A90" w:rsidP="00C22A90">
      <w:pPr>
        <w:rPr>
          <w:i/>
          <w:iCs/>
          <w:lang w:val="en-US"/>
        </w:rPr>
      </w:pPr>
      <w:r w:rsidRPr="002579D1">
        <w:rPr>
          <w:i/>
          <w:iCs/>
          <w:lang w:val="en-US"/>
        </w:rPr>
        <w:t>“</w:t>
      </w:r>
      <w:proofErr w:type="gramStart"/>
      <w:r w:rsidRPr="002579D1">
        <w:rPr>
          <w:i/>
          <w:iCs/>
        </w:rPr>
        <w:t>any</w:t>
      </w:r>
      <w:proofErr w:type="gramEnd"/>
      <w:r w:rsidRPr="002579D1">
        <w:rPr>
          <w:i/>
          <w:iCs/>
        </w:rPr>
        <w:t xml:space="preserve"> transfer of </w:t>
      </w:r>
      <w:r w:rsidRPr="002579D1">
        <w:rPr>
          <w:b/>
          <w:bCs/>
          <w:i/>
          <w:iCs/>
        </w:rPr>
        <w:t>funds</w:t>
      </w:r>
      <w:r w:rsidRPr="002579D1">
        <w:rPr>
          <w:i/>
          <w:iCs/>
        </w:rPr>
        <w:t xml:space="preserve"> exceeding 100 000 EUR out of the Union that they made during that quarter, directly or indirectly, in one or several operations.</w:t>
      </w:r>
      <w:r w:rsidRPr="002579D1">
        <w:rPr>
          <w:i/>
          <w:iCs/>
          <w:lang w:val="en-US"/>
        </w:rPr>
        <w:t>”</w:t>
      </w:r>
    </w:p>
    <w:p w14:paraId="2C5C716C" w14:textId="77777777" w:rsidR="00C22A90" w:rsidRPr="002579D1" w:rsidRDefault="00C22A90" w:rsidP="00C22A90">
      <w:pPr>
        <w:rPr>
          <w:i/>
          <w:iCs/>
          <w:lang w:val="en-US"/>
        </w:rPr>
      </w:pPr>
      <w:r w:rsidRPr="002579D1">
        <w:rPr>
          <w:i/>
          <w:iCs/>
          <w:lang w:val="en-US"/>
        </w:rPr>
        <w:t>According to the definitions of the Regulation:</w:t>
      </w:r>
    </w:p>
    <w:p w14:paraId="7177FA1F" w14:textId="77777777" w:rsidR="00C22A90" w:rsidRPr="00863DCB" w:rsidRDefault="00C22A90" w:rsidP="00C22A90">
      <w:pPr>
        <w:pStyle w:val="Point0"/>
        <w:ind w:firstLine="0"/>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w:t>
      </w:r>
      <w:proofErr w:type="spellStart"/>
      <w:r w:rsidRPr="00863DCB">
        <w:rPr>
          <w:rStyle w:val="rynqvb"/>
          <w:rFonts w:asciiTheme="minorHAnsi" w:eastAsiaTheme="minorHAnsi" w:hAnsiTheme="minorHAnsi" w:cstheme="minorBidi"/>
          <w:kern w:val="2"/>
          <w:sz w:val="22"/>
          <w:szCs w:val="22"/>
          <w:lang w:val="en" w:eastAsia="en-US" w:bidi="he-IL"/>
          <w14:ligatures w14:val="standardContextual"/>
        </w:rPr>
        <w:t>zd</w:t>
      </w:r>
      <w:proofErr w:type="spellEnd"/>
      <w:r w:rsidRPr="00863DCB">
        <w:rPr>
          <w:rStyle w:val="rynqvb"/>
          <w:rFonts w:asciiTheme="minorHAnsi" w:eastAsiaTheme="minorHAnsi" w:hAnsiTheme="minorHAnsi" w:cstheme="minorBidi"/>
          <w:kern w:val="2"/>
          <w:sz w:val="22"/>
          <w:szCs w:val="22"/>
          <w:lang w:val="en" w:eastAsia="en-US" w:bidi="he-IL"/>
          <w14:ligatures w14:val="standardContextual"/>
        </w:rPr>
        <w:t>) “funds” means financial assets and benefits of every kind, including, but not limited to:</w:t>
      </w:r>
    </w:p>
    <w:p w14:paraId="22C378D1"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cash, cheques, claims on money, drafts, money orders and other payment instruments;</w:t>
      </w:r>
    </w:p>
    <w:p w14:paraId="3FFE9FA6"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deposits with financial institutions or other entities, balances on accounts, debts and debt obligations;</w:t>
      </w:r>
    </w:p>
    <w:p w14:paraId="263F8636"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publicly- and privately-traded securities and debt instruments, including stocks and shares, certificates representing securities, bonds, notes, warrants, debentures and derivatives contracts;</w:t>
      </w:r>
    </w:p>
    <w:p w14:paraId="6E0C9676"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interest, dividends or other income on or value accruing from or generated by assets;</w:t>
      </w:r>
    </w:p>
    <w:p w14:paraId="73F52CB1"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credit, right of set-off, guarantees, performance bonds or other financial commitments;</w:t>
      </w:r>
    </w:p>
    <w:p w14:paraId="1FC07E02"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letters of credit, bills of lading, bills of sale; and</w:t>
      </w:r>
    </w:p>
    <w:p w14:paraId="36AEE85F" w14:textId="77777777" w:rsidR="00C22A90" w:rsidRPr="00863DCB" w:rsidRDefault="00C22A90" w:rsidP="00C22A90">
      <w:pPr>
        <w:pStyle w:val="Point0"/>
        <w:numPr>
          <w:ilvl w:val="0"/>
          <w:numId w:val="1"/>
        </w:numPr>
        <w:rPr>
          <w:rStyle w:val="rynqvb"/>
          <w:rFonts w:asciiTheme="minorHAnsi" w:eastAsiaTheme="minorHAnsi" w:hAnsiTheme="minorHAnsi" w:cstheme="minorBidi"/>
          <w:kern w:val="2"/>
          <w:sz w:val="22"/>
          <w:szCs w:val="22"/>
          <w:lang w:val="en" w:eastAsia="en-US" w:bidi="he-IL"/>
          <w14:ligatures w14:val="standardContextual"/>
        </w:rPr>
      </w:pPr>
      <w:r w:rsidRPr="00863DCB">
        <w:rPr>
          <w:rStyle w:val="rynqvb"/>
          <w:rFonts w:asciiTheme="minorHAnsi" w:eastAsiaTheme="minorHAnsi" w:hAnsiTheme="minorHAnsi" w:cstheme="minorBidi"/>
          <w:kern w:val="2"/>
          <w:sz w:val="22"/>
          <w:szCs w:val="22"/>
          <w:lang w:val="en" w:eastAsia="en-US" w:bidi="he-IL"/>
          <w14:ligatures w14:val="standardContextual"/>
        </w:rPr>
        <w:t>documents showing evidence of an interest in funds or financial resources</w:t>
      </w:r>
    </w:p>
    <w:p w14:paraId="6F154F96" w14:textId="77777777" w:rsidR="00C22A90" w:rsidRPr="002579D1" w:rsidRDefault="00C22A90" w:rsidP="00C22A90">
      <w:pPr>
        <w:pStyle w:val="Point0"/>
        <w:ind w:left="2160" w:firstLine="0"/>
        <w:rPr>
          <w:i/>
          <w:iCs/>
        </w:rPr>
      </w:pPr>
    </w:p>
    <w:p w14:paraId="1F9B2DD9" w14:textId="2E372627" w:rsidR="00C22A90" w:rsidRDefault="00C22A90" w:rsidP="00C22A90">
      <w:r>
        <w:t xml:space="preserve">3) </w:t>
      </w:r>
      <w:r w:rsidR="00B51584">
        <w:rPr>
          <w:rStyle w:val="rynqvb"/>
          <w:lang w:val="en"/>
        </w:rPr>
        <w:t>Please confirm whether the term "</w:t>
      </w:r>
      <w:r w:rsidR="00B51584" w:rsidRPr="00B51584">
        <w:t xml:space="preserve"> </w:t>
      </w:r>
      <w:r w:rsidR="00B51584" w:rsidRPr="00B51584">
        <w:rPr>
          <w:rStyle w:val="rynqvb"/>
          <w:lang w:val="en"/>
        </w:rPr>
        <w:t>Legal persons, entities and bodies established in the Union</w:t>
      </w:r>
      <w:r w:rsidR="00B51584">
        <w:rPr>
          <w:rStyle w:val="rynqvb"/>
          <w:lang w:val="en"/>
        </w:rPr>
        <w:t>" includes Trusts and other similar legal arrangements established in the Union.</w:t>
      </w:r>
    </w:p>
    <w:p w14:paraId="1535E83D" w14:textId="6684D96A" w:rsidR="00996255" w:rsidRPr="00B51584" w:rsidRDefault="00060EBB" w:rsidP="00060EBB">
      <w:pPr>
        <w:jc w:val="both"/>
        <w:rPr>
          <w:rFonts w:ascii="Arial" w:hAnsi="Arial" w:cs="Arial"/>
          <w:i/>
          <w:iCs/>
          <w:color w:val="202124"/>
          <w:sz w:val="20"/>
          <w:szCs w:val="20"/>
          <w:shd w:val="clear" w:color="auto" w:fill="FFFFFF"/>
          <w:lang w:val="en-US"/>
        </w:rPr>
      </w:pPr>
      <w:r>
        <w:rPr>
          <w:rFonts w:ascii="Arial" w:hAnsi="Arial" w:cs="Arial"/>
          <w:i/>
          <w:iCs/>
          <w:color w:val="202124"/>
          <w:sz w:val="20"/>
          <w:szCs w:val="20"/>
          <w:shd w:val="clear" w:color="auto" w:fill="FFFFFF"/>
          <w:lang w:val="en-US"/>
        </w:rPr>
        <w:t>No</w:t>
      </w:r>
      <w:r w:rsidRPr="00060EBB">
        <w:rPr>
          <w:rFonts w:ascii="Arial" w:hAnsi="Arial" w:cs="Arial"/>
          <w:i/>
          <w:iCs/>
          <w:color w:val="202124"/>
          <w:sz w:val="20"/>
          <w:szCs w:val="20"/>
          <w:shd w:val="clear" w:color="auto" w:fill="FFFFFF"/>
          <w:lang w:val="en-US"/>
        </w:rPr>
        <w:t xml:space="preserve"> </w:t>
      </w:r>
      <w:r>
        <w:rPr>
          <w:rFonts w:ascii="Arial" w:hAnsi="Arial" w:cs="Arial"/>
          <w:i/>
          <w:iCs/>
          <w:color w:val="202124"/>
          <w:sz w:val="20"/>
          <w:szCs w:val="20"/>
          <w:shd w:val="clear" w:color="auto" w:fill="FFFFFF"/>
          <w:lang w:val="en-US"/>
        </w:rPr>
        <w:t>specific</w:t>
      </w:r>
      <w:r w:rsidRPr="00060EBB">
        <w:rPr>
          <w:rFonts w:ascii="Arial" w:hAnsi="Arial" w:cs="Arial"/>
          <w:i/>
          <w:iCs/>
          <w:color w:val="202124"/>
          <w:sz w:val="20"/>
          <w:szCs w:val="20"/>
          <w:shd w:val="clear" w:color="auto" w:fill="FFFFFF"/>
          <w:lang w:val="en-US"/>
        </w:rPr>
        <w:t xml:space="preserve"> </w:t>
      </w:r>
      <w:r>
        <w:rPr>
          <w:rFonts w:ascii="Arial" w:hAnsi="Arial" w:cs="Arial"/>
          <w:i/>
          <w:iCs/>
          <w:color w:val="202124"/>
          <w:sz w:val="20"/>
          <w:szCs w:val="20"/>
          <w:shd w:val="clear" w:color="auto" w:fill="FFFFFF"/>
          <w:lang w:val="en-US"/>
        </w:rPr>
        <w:t>reference</w:t>
      </w:r>
      <w:r w:rsidRPr="00060EBB">
        <w:rPr>
          <w:rFonts w:ascii="Arial" w:hAnsi="Arial" w:cs="Arial"/>
          <w:i/>
          <w:iCs/>
          <w:color w:val="202124"/>
          <w:sz w:val="20"/>
          <w:szCs w:val="20"/>
          <w:shd w:val="clear" w:color="auto" w:fill="FFFFFF"/>
          <w:lang w:val="en-US"/>
        </w:rPr>
        <w:t xml:space="preserve"> </w:t>
      </w:r>
      <w:r w:rsidR="00730ED5">
        <w:rPr>
          <w:rFonts w:ascii="Arial" w:hAnsi="Arial" w:cs="Arial"/>
          <w:i/>
          <w:iCs/>
          <w:color w:val="202124"/>
          <w:sz w:val="20"/>
          <w:szCs w:val="20"/>
          <w:shd w:val="clear" w:color="auto" w:fill="FFFFFF"/>
          <w:lang w:val="en-US"/>
        </w:rPr>
        <w:t xml:space="preserve">is made in article 5r of Regulation 833/2014 </w:t>
      </w:r>
      <w:r>
        <w:rPr>
          <w:rFonts w:ascii="Arial" w:hAnsi="Arial" w:cs="Arial"/>
          <w:i/>
          <w:iCs/>
          <w:color w:val="202124"/>
          <w:sz w:val="20"/>
          <w:szCs w:val="20"/>
          <w:shd w:val="clear" w:color="auto" w:fill="FFFFFF"/>
          <w:lang w:val="en-US"/>
        </w:rPr>
        <w:t xml:space="preserve">to </w:t>
      </w:r>
      <w:r w:rsidRPr="00060EBB">
        <w:rPr>
          <w:rFonts w:ascii="Arial" w:hAnsi="Arial" w:cs="Arial"/>
          <w:i/>
          <w:iCs/>
          <w:color w:val="202124"/>
          <w:sz w:val="20"/>
          <w:szCs w:val="20"/>
          <w:shd w:val="clear" w:color="auto" w:fill="FFFFFF"/>
          <w:lang w:val="en-US"/>
        </w:rPr>
        <w:t>a trust or any similar legal arrangement.</w:t>
      </w:r>
      <w:r>
        <w:rPr>
          <w:rFonts w:ascii="Arial" w:hAnsi="Arial" w:cs="Arial"/>
          <w:i/>
          <w:iCs/>
          <w:color w:val="202124"/>
          <w:sz w:val="20"/>
          <w:szCs w:val="20"/>
          <w:shd w:val="clear" w:color="auto" w:fill="FFFFFF"/>
          <w:lang w:val="en-US"/>
        </w:rPr>
        <w:t xml:space="preserve"> </w:t>
      </w:r>
    </w:p>
    <w:p w14:paraId="267D3A60" w14:textId="77777777" w:rsidR="00C22A90" w:rsidRPr="002579D1" w:rsidRDefault="00C22A90" w:rsidP="00C22A90">
      <w:pPr>
        <w:jc w:val="both"/>
        <w:rPr>
          <w:rFonts w:ascii="Arial" w:hAnsi="Arial" w:cs="Arial"/>
          <w:i/>
          <w:iCs/>
          <w:color w:val="202124"/>
          <w:sz w:val="20"/>
          <w:szCs w:val="20"/>
          <w:shd w:val="clear" w:color="auto" w:fill="FFFFFF"/>
        </w:rPr>
      </w:pPr>
    </w:p>
    <w:p w14:paraId="2D3539F6" w14:textId="0D1552A6" w:rsidR="00C22A90" w:rsidRDefault="00C22A90" w:rsidP="00C22A90">
      <w:pPr>
        <w:jc w:val="both"/>
      </w:pPr>
      <w:r w:rsidRPr="00243E7B">
        <w:rPr>
          <w:rFonts w:ascii="Arial" w:hAnsi="Arial" w:cs="Arial"/>
          <w:color w:val="202124"/>
          <w:sz w:val="20"/>
          <w:szCs w:val="20"/>
          <w:shd w:val="clear" w:color="auto" w:fill="FFFFFF"/>
          <w:lang w:val="en-US"/>
        </w:rPr>
        <w:t xml:space="preserve">4) </w:t>
      </w:r>
      <w:r w:rsidR="00B51584">
        <w:rPr>
          <w:rFonts w:ascii="Arial" w:hAnsi="Arial" w:cs="Arial"/>
          <w:color w:val="202124"/>
          <w:sz w:val="20"/>
          <w:szCs w:val="20"/>
          <w:shd w:val="clear" w:color="auto" w:fill="FFFFFF"/>
          <w:lang w:val="en-US"/>
        </w:rPr>
        <w:t xml:space="preserve">Please </w:t>
      </w:r>
      <w:r w:rsidR="00B51584">
        <w:rPr>
          <w:rStyle w:val="rynqvb"/>
          <w:lang w:val="en"/>
        </w:rPr>
        <w:t>clarify that legal entities that are owned by Russian citizens who have dual citizenship (e.g. Cypriot) have no reporting obligation with article 5r</w:t>
      </w:r>
      <w:r>
        <w:t>.</w:t>
      </w:r>
    </w:p>
    <w:p w14:paraId="739AA832" w14:textId="7181B87C" w:rsidR="00996255" w:rsidRPr="00243E7B" w:rsidRDefault="00B51584" w:rsidP="00C22A90">
      <w:pPr>
        <w:rPr>
          <w:rStyle w:val="rynqvb"/>
          <w:i/>
          <w:iCs/>
          <w:lang w:val="en-US"/>
        </w:rPr>
      </w:pPr>
      <w:r>
        <w:rPr>
          <w:rStyle w:val="rynqvb"/>
          <w:i/>
          <w:iCs/>
          <w:lang w:val="en-US"/>
        </w:rPr>
        <w:lastRenderedPageBreak/>
        <w:t>According to European Commission Q&amp;A Russian nationals with dual citizenship have reporting obligation</w:t>
      </w:r>
      <w:r w:rsidR="00996255" w:rsidRPr="00243E7B">
        <w:rPr>
          <w:rStyle w:val="rynqvb"/>
          <w:i/>
          <w:iCs/>
          <w:lang w:val="en-US"/>
        </w:rPr>
        <w:t>.</w:t>
      </w:r>
    </w:p>
    <w:p w14:paraId="6D0DC143" w14:textId="77777777" w:rsidR="00C22A90" w:rsidRPr="00243E7B" w:rsidRDefault="00C22A90" w:rsidP="00C22A90">
      <w:pPr>
        <w:jc w:val="both"/>
        <w:rPr>
          <w:lang w:val="en-US"/>
        </w:rPr>
      </w:pPr>
    </w:p>
    <w:p w14:paraId="3FE7E874" w14:textId="77777777" w:rsidR="008D267C" w:rsidRDefault="00C22A90" w:rsidP="00243E7B">
      <w:pPr>
        <w:jc w:val="both"/>
        <w:rPr>
          <w:rStyle w:val="rynqvb"/>
          <w:lang w:val="en"/>
        </w:rPr>
      </w:pPr>
      <w:r>
        <w:t xml:space="preserve">5) </w:t>
      </w:r>
      <w:r w:rsidR="00243E7B">
        <w:rPr>
          <w:rStyle w:val="rynqvb"/>
          <w:lang w:val="en"/>
        </w:rPr>
        <w:t xml:space="preserve">In the case of Funds registered with the Cyprus Securities and Exchange Commission, to clarify whether the 40% limit applies to the investors of the fund and not to the Fund managers. </w:t>
      </w:r>
    </w:p>
    <w:p w14:paraId="7E3FD356" w14:textId="434AB960" w:rsidR="00C22A90" w:rsidRPr="00163DBF" w:rsidRDefault="00243E7B" w:rsidP="00C22A90">
      <w:pPr>
        <w:jc w:val="both"/>
        <w:rPr>
          <w:i/>
          <w:iCs/>
          <w:lang w:val="en-US"/>
        </w:rPr>
      </w:pPr>
      <w:r w:rsidRPr="00163DBF">
        <w:rPr>
          <w:rStyle w:val="rynqvb"/>
          <w:i/>
          <w:iCs/>
          <w:lang w:val="en"/>
        </w:rPr>
        <w:t>The limit applies to both investors and managers.</w:t>
      </w:r>
    </w:p>
    <w:p w14:paraId="4F3A1610" w14:textId="77777777" w:rsidR="00C816D5" w:rsidRPr="00863DCB" w:rsidRDefault="00C816D5" w:rsidP="00E04C49">
      <w:pPr>
        <w:jc w:val="both"/>
        <w:rPr>
          <w:lang w:val="en-US"/>
        </w:rPr>
      </w:pPr>
    </w:p>
    <w:p w14:paraId="32552768" w14:textId="59923355" w:rsidR="00E04C49" w:rsidRDefault="00C22A90" w:rsidP="00E04C49">
      <w:pPr>
        <w:jc w:val="both"/>
        <w:rPr>
          <w:rStyle w:val="rynqvb"/>
          <w:lang w:val="en"/>
        </w:rPr>
      </w:pPr>
      <w:r>
        <w:t xml:space="preserve">6) </w:t>
      </w:r>
      <w:r w:rsidR="00730ED5" w:rsidRPr="00863DCB">
        <w:rPr>
          <w:u w:val="single"/>
          <w:lang w:val="en-US"/>
        </w:rPr>
        <w:t>Examples</w:t>
      </w:r>
      <w:r w:rsidR="00E04C49" w:rsidRPr="00863DCB">
        <w:rPr>
          <w:rStyle w:val="rynqvb"/>
          <w:u w:val="single"/>
          <w:lang w:val="en"/>
        </w:rPr>
        <w:t>:</w:t>
      </w:r>
      <w:r w:rsidR="00E04C49">
        <w:rPr>
          <w:rStyle w:val="rynqvb"/>
          <w:lang w:val="en"/>
        </w:rPr>
        <w:t xml:space="preserve"> </w:t>
      </w:r>
    </w:p>
    <w:p w14:paraId="6C8203A0" w14:textId="21B7D9E9" w:rsidR="00E04C49" w:rsidRDefault="00730ED5" w:rsidP="00E04C49">
      <w:pPr>
        <w:jc w:val="both"/>
        <w:rPr>
          <w:rStyle w:val="rynqvb"/>
          <w:lang w:val="en"/>
        </w:rPr>
      </w:pPr>
      <w:r>
        <w:rPr>
          <w:rStyle w:val="rynqvb"/>
          <w:lang w:val="en"/>
        </w:rPr>
        <w:t>(</w:t>
      </w:r>
      <w:r w:rsidR="00E04C49">
        <w:rPr>
          <w:rStyle w:val="rynqvb"/>
          <w:lang w:val="en"/>
        </w:rPr>
        <w:t>a) Does accumulation of eligible funds in different jurisdictions apply (</w:t>
      </w:r>
      <w:proofErr w:type="spellStart"/>
      <w:r w:rsidR="00E04C49">
        <w:rPr>
          <w:rStyle w:val="rynqvb"/>
          <w:lang w:val="en"/>
        </w:rPr>
        <w:t>eg</w:t>
      </w:r>
      <w:proofErr w:type="spellEnd"/>
      <w:r w:rsidR="00E04C49">
        <w:rPr>
          <w:rStyle w:val="rynqvb"/>
          <w:lang w:val="en"/>
        </w:rPr>
        <w:t>, Legal entity transfers €50,000 to UK and €60,000 to Israel)?</w:t>
      </w:r>
      <w:r w:rsidR="00E04C49">
        <w:rPr>
          <w:rStyle w:val="hwtze"/>
          <w:lang w:val="en"/>
        </w:rPr>
        <w:t xml:space="preserve"> </w:t>
      </w:r>
      <w:r w:rsidR="00E04C49">
        <w:rPr>
          <w:rStyle w:val="rynqvb"/>
          <w:lang w:val="en"/>
        </w:rPr>
        <w:t xml:space="preserve">Please clarify whether it is considered that more than €100,000 was transferred outside the Union and therefore there is an obligation to report. </w:t>
      </w:r>
    </w:p>
    <w:p w14:paraId="77C87401" w14:textId="77777777" w:rsidR="00E04C49" w:rsidRPr="00163DBF" w:rsidRDefault="00E04C49" w:rsidP="00E04C49">
      <w:pPr>
        <w:jc w:val="both"/>
        <w:rPr>
          <w:rStyle w:val="rynqvb"/>
          <w:i/>
          <w:iCs/>
          <w:lang w:val="en"/>
        </w:rPr>
      </w:pPr>
      <w:r w:rsidRPr="00163DBF">
        <w:rPr>
          <w:rStyle w:val="rynqvb"/>
          <w:i/>
          <w:iCs/>
          <w:lang w:val="en"/>
        </w:rPr>
        <w:t xml:space="preserve">There is a reporting obligation. </w:t>
      </w:r>
    </w:p>
    <w:p w14:paraId="17B9B5ED" w14:textId="46B0E169" w:rsidR="00E04C49" w:rsidRDefault="00730ED5" w:rsidP="00E04C49">
      <w:pPr>
        <w:jc w:val="both"/>
        <w:rPr>
          <w:rStyle w:val="rynqvb"/>
          <w:lang w:val="en"/>
        </w:rPr>
      </w:pPr>
      <w:r>
        <w:rPr>
          <w:rStyle w:val="rynqvb"/>
          <w:lang w:val="en"/>
        </w:rPr>
        <w:t>(</w:t>
      </w:r>
      <w:r w:rsidR="00E04C49">
        <w:rPr>
          <w:rStyle w:val="rynqvb"/>
          <w:lang w:val="en"/>
        </w:rPr>
        <w:t>b) Accumulation in relation to quarters applies as the reporting obligation for legal entities will occur on a quarterly basis (</w:t>
      </w:r>
      <w:proofErr w:type="spellStart"/>
      <w:r w:rsidR="00E04C49">
        <w:rPr>
          <w:rStyle w:val="rynqvb"/>
          <w:lang w:val="en"/>
        </w:rPr>
        <w:t>eg</w:t>
      </w:r>
      <w:proofErr w:type="spellEnd"/>
      <w:r w:rsidR="00E04C49">
        <w:rPr>
          <w:rStyle w:val="rynqvb"/>
          <w:lang w:val="en"/>
        </w:rPr>
        <w:t xml:space="preserve"> Legal entity transfers €50,000 to the UK in Q1 and €60,000</w:t>
      </w:r>
      <w:r w:rsidR="00E04C49">
        <w:rPr>
          <w:rStyle w:val="hwtze"/>
          <w:lang w:val="en"/>
        </w:rPr>
        <w:t xml:space="preserve"> </w:t>
      </w:r>
      <w:r w:rsidR="00E04C49">
        <w:rPr>
          <w:rStyle w:val="rynqvb"/>
          <w:lang w:val="en"/>
        </w:rPr>
        <w:t>in Israel in Q2)?</w:t>
      </w:r>
      <w:r w:rsidR="00E04C49">
        <w:rPr>
          <w:rStyle w:val="hwtze"/>
          <w:lang w:val="en"/>
        </w:rPr>
        <w:t xml:space="preserve"> </w:t>
      </w:r>
      <w:r w:rsidR="00E04C49">
        <w:rPr>
          <w:rStyle w:val="rynqvb"/>
          <w:lang w:val="en"/>
        </w:rPr>
        <w:t xml:space="preserve">Please clarify whether the €100,000 limit should be calculated cumulatively and therefore the above example has an obligation to report in the 2nd quarter. </w:t>
      </w:r>
    </w:p>
    <w:p w14:paraId="208A7862" w14:textId="4009069A" w:rsidR="00E04C49" w:rsidRPr="00163DBF" w:rsidRDefault="00E04C49" w:rsidP="00E04C49">
      <w:pPr>
        <w:jc w:val="both"/>
        <w:rPr>
          <w:rStyle w:val="rynqvb"/>
          <w:i/>
          <w:iCs/>
          <w:lang w:val="en"/>
        </w:rPr>
      </w:pPr>
      <w:proofErr w:type="spellStart"/>
      <w:r w:rsidRPr="00163DBF">
        <w:rPr>
          <w:rStyle w:val="rynqvb"/>
          <w:i/>
          <w:iCs/>
          <w:lang w:val="el-GR"/>
        </w:rPr>
        <w:t>Νο</w:t>
      </w:r>
      <w:proofErr w:type="spellEnd"/>
      <w:r w:rsidRPr="00163DBF">
        <w:rPr>
          <w:rStyle w:val="rynqvb"/>
          <w:i/>
          <w:iCs/>
          <w:lang w:val="en"/>
        </w:rPr>
        <w:t xml:space="preserve"> reporting obligation. </w:t>
      </w:r>
    </w:p>
    <w:p w14:paraId="0AAB2A26" w14:textId="0AC454C9" w:rsidR="00516562" w:rsidRDefault="00730ED5" w:rsidP="00C22A90">
      <w:pPr>
        <w:jc w:val="both"/>
        <w:rPr>
          <w:rStyle w:val="rynqvb"/>
          <w:lang w:val="en"/>
        </w:rPr>
      </w:pPr>
      <w:r>
        <w:rPr>
          <w:rStyle w:val="rynqvb"/>
          <w:lang w:val="en"/>
        </w:rPr>
        <w:t>(</w:t>
      </w:r>
      <w:r w:rsidR="00516562">
        <w:rPr>
          <w:rStyle w:val="rynqvb"/>
          <w:lang w:val="en"/>
        </w:rPr>
        <w:t>c) In addition to point (</w:t>
      </w:r>
      <w:r>
        <w:rPr>
          <w:rStyle w:val="rynqvb"/>
          <w:lang w:val="en"/>
        </w:rPr>
        <w:t>b</w:t>
      </w:r>
      <w:r w:rsidR="00516562">
        <w:rPr>
          <w:rStyle w:val="rynqvb"/>
          <w:lang w:val="en"/>
        </w:rPr>
        <w:t>) above, please clarify whether a transfer in the 3rd quarter of an amount of €50,000 to the US will be considered that the amount of transfer of funds cumulatively amounts to €160,000 and therefore a new reporting obligation is created for</w:t>
      </w:r>
      <w:r w:rsidR="00516562">
        <w:rPr>
          <w:rStyle w:val="hwtze"/>
          <w:lang w:val="en"/>
        </w:rPr>
        <w:t xml:space="preserve"> </w:t>
      </w:r>
      <w:r w:rsidR="00516562">
        <w:rPr>
          <w:rStyle w:val="rynqvb"/>
          <w:lang w:val="en"/>
        </w:rPr>
        <w:t xml:space="preserve">the total amount. </w:t>
      </w:r>
    </w:p>
    <w:p w14:paraId="2891A2D7" w14:textId="77777777" w:rsidR="00516562" w:rsidRDefault="00516562" w:rsidP="00C22A90">
      <w:pPr>
        <w:jc w:val="both"/>
        <w:rPr>
          <w:rStyle w:val="rynqvb"/>
          <w:lang w:val="en"/>
        </w:rPr>
      </w:pPr>
      <w:r>
        <w:rPr>
          <w:rStyle w:val="rynqvb"/>
          <w:lang w:val="en"/>
        </w:rPr>
        <w:t xml:space="preserve">No reporting obligation. </w:t>
      </w:r>
    </w:p>
    <w:p w14:paraId="1EAB4AF3" w14:textId="77777777" w:rsidR="00516562" w:rsidRDefault="00516562" w:rsidP="00C22A90">
      <w:pPr>
        <w:jc w:val="both"/>
        <w:rPr>
          <w:rStyle w:val="rynqvb"/>
          <w:lang w:val="en"/>
        </w:rPr>
      </w:pPr>
    </w:p>
    <w:p w14:paraId="45D41DCD" w14:textId="77777777" w:rsidR="00516562" w:rsidRDefault="00516562" w:rsidP="00C22A90">
      <w:pPr>
        <w:jc w:val="both"/>
        <w:rPr>
          <w:rStyle w:val="rynqvb"/>
          <w:lang w:val="en"/>
        </w:rPr>
      </w:pPr>
      <w:r>
        <w:rPr>
          <w:rStyle w:val="rynqvb"/>
          <w:lang w:val="en"/>
        </w:rPr>
        <w:t>7) Please confirm whether transfers from a Cypriot legal entity with a bank account in a jurisdiction outside the Union to a legal entity registered in the same jurisdiction that maintains a bank account in the same jurisdiction is considered a reportable transfer.</w:t>
      </w:r>
      <w:r>
        <w:rPr>
          <w:rStyle w:val="hwtze"/>
          <w:lang w:val="en"/>
        </w:rPr>
        <w:t xml:space="preserve"> </w:t>
      </w:r>
      <w:r>
        <w:rPr>
          <w:rStyle w:val="rynqvb"/>
          <w:lang w:val="en"/>
        </w:rPr>
        <w:t>For example, a Cypriot legal entity with a bank account in Switzerland transfers €150,000 to the Swiss bank account of a Swiss legal entity.</w:t>
      </w:r>
    </w:p>
    <w:p w14:paraId="019CBF8F" w14:textId="77777777" w:rsidR="007215BB" w:rsidRPr="007215BB" w:rsidRDefault="007215BB" w:rsidP="007215BB">
      <w:pPr>
        <w:shd w:val="clear" w:color="auto" w:fill="FFFFFF"/>
        <w:spacing w:before="100" w:beforeAutospacing="1" w:after="100" w:afterAutospacing="1"/>
        <w:jc w:val="both"/>
        <w:rPr>
          <w:rFonts w:ascii="Arial" w:hAnsi="Arial" w:cs="Arial"/>
          <w:color w:val="FF0000"/>
          <w:lang w:val="en-US" w:eastAsia="el-GR"/>
        </w:rPr>
      </w:pPr>
      <w:r w:rsidRPr="007215BB">
        <w:rPr>
          <w:rFonts w:ascii="Arial" w:hAnsi="Arial" w:cs="Arial"/>
          <w:color w:val="FF0000"/>
          <w:lang w:val="en-US" w:eastAsia="el-GR"/>
        </w:rPr>
        <w:t xml:space="preserve">- </w:t>
      </w:r>
      <w:r w:rsidRPr="007215BB">
        <w:rPr>
          <w:rFonts w:ascii="Arial" w:hAnsi="Arial" w:cs="Arial"/>
          <w:color w:val="FF0000"/>
          <w:u w:val="single"/>
          <w:lang w:val="en-US" w:eastAsia="el-GR"/>
        </w:rPr>
        <w:t>Reporting is based on the understanding that reportable transfers are those that leave the EU jurisdiction</w:t>
      </w:r>
      <w:r w:rsidRPr="007215BB">
        <w:rPr>
          <w:rFonts w:ascii="Arial" w:hAnsi="Arial" w:cs="Arial"/>
          <w:color w:val="FF0000"/>
          <w:lang w:val="en-US" w:eastAsia="el-GR"/>
        </w:rPr>
        <w:t xml:space="preserve">. Thus, funds that the EU reporting entity holds on a third country bank account (where the bank is not a branch of an EU bank) would not be subject to the reporting requirement if transferred, </w:t>
      </w:r>
      <w:r w:rsidRPr="007215BB">
        <w:rPr>
          <w:rFonts w:ascii="Arial" w:hAnsi="Arial" w:cs="Arial"/>
          <w:color w:val="FF0000"/>
          <w:u w:val="single"/>
          <w:lang w:val="en-US" w:eastAsia="el-GR"/>
        </w:rPr>
        <w:t>because such funds are already outside EU jurisdiction</w:t>
      </w:r>
      <w:r w:rsidRPr="007215BB">
        <w:rPr>
          <w:rFonts w:ascii="Arial" w:hAnsi="Arial" w:cs="Arial"/>
          <w:color w:val="FF0000"/>
          <w:lang w:val="en-US" w:eastAsia="el-GR"/>
        </w:rPr>
        <w:t>.</w:t>
      </w:r>
    </w:p>
    <w:p w14:paraId="756D6EFE" w14:textId="77777777" w:rsidR="007215BB" w:rsidRPr="007215BB" w:rsidRDefault="007215BB" w:rsidP="007215BB">
      <w:pPr>
        <w:shd w:val="clear" w:color="auto" w:fill="FFFFFF"/>
        <w:spacing w:before="100" w:beforeAutospacing="1" w:after="100" w:afterAutospacing="1"/>
        <w:jc w:val="both"/>
        <w:rPr>
          <w:rFonts w:ascii="Arial" w:hAnsi="Arial" w:cs="Arial"/>
          <w:color w:val="FF0000"/>
          <w:lang w:val="en-US" w:eastAsia="el-GR"/>
        </w:rPr>
      </w:pPr>
      <w:r w:rsidRPr="007215BB">
        <w:rPr>
          <w:rFonts w:ascii="Arial" w:hAnsi="Arial" w:cs="Arial"/>
          <w:color w:val="FF0000"/>
          <w:lang w:val="en-US" w:eastAsia="el-GR"/>
        </w:rPr>
        <w:t>- Conversely, funds transferred by the reporting entity (including its EU and non-EU branches) from an EU bank account to a non-EU bank account of the recipient are reportable, even if the recipient is an EU person or company.</w:t>
      </w:r>
    </w:p>
    <w:tbl>
      <w:tblPr>
        <w:tblW w:w="0" w:type="auto"/>
        <w:tblCellMar>
          <w:left w:w="0" w:type="dxa"/>
          <w:right w:w="0" w:type="dxa"/>
        </w:tblCellMar>
        <w:tblLook w:val="04A0" w:firstRow="1" w:lastRow="0" w:firstColumn="1" w:lastColumn="0" w:noHBand="0" w:noVBand="1"/>
      </w:tblPr>
      <w:tblGrid>
        <w:gridCol w:w="1930"/>
        <w:gridCol w:w="2053"/>
        <w:gridCol w:w="1597"/>
        <w:gridCol w:w="2022"/>
        <w:gridCol w:w="1404"/>
      </w:tblGrid>
      <w:tr w:rsidR="007215BB" w:rsidRPr="007215BB" w14:paraId="01C2660E" w14:textId="77777777" w:rsidTr="007215BB">
        <w:tc>
          <w:tcPr>
            <w:tcW w:w="2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480043" w14:textId="77777777" w:rsidR="007215BB" w:rsidRPr="007215BB" w:rsidRDefault="007215BB" w:rsidP="007215BB">
            <w:pPr>
              <w:jc w:val="both"/>
              <w:rPr>
                <w:rFonts w:ascii="Calibri" w:hAnsi="Calibri" w:cs="Calibri"/>
                <w:color w:val="FF0000"/>
                <w:lang w:val="en-US"/>
              </w:rPr>
            </w:pPr>
            <w:r w:rsidRPr="007215BB">
              <w:rPr>
                <w:rFonts w:ascii="Arial" w:hAnsi="Arial" w:cs="Arial"/>
                <w:b/>
                <w:bCs/>
                <w:color w:val="FF0000"/>
                <w:lang w:eastAsia="el-GR"/>
              </w:rPr>
              <w:t>Transferring Entity</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EBE44" w14:textId="77777777" w:rsidR="007215BB" w:rsidRPr="007215BB" w:rsidRDefault="007215BB" w:rsidP="007215BB">
            <w:pPr>
              <w:jc w:val="both"/>
              <w:rPr>
                <w:rFonts w:ascii="Times New Roman" w:hAnsi="Times New Roman" w:cs="Times New Roman"/>
                <w:color w:val="FF0000"/>
                <w:sz w:val="24"/>
                <w:szCs w:val="24"/>
                <w:lang w:val="en-US"/>
                <w14:ligatures w14:val="none"/>
              </w:rPr>
            </w:pPr>
            <w:r w:rsidRPr="007215BB">
              <w:rPr>
                <w:rFonts w:ascii="Arial" w:hAnsi="Arial" w:cs="Arial"/>
                <w:b/>
                <w:bCs/>
                <w:color w:val="FF0000"/>
                <w:lang w:eastAsia="el-GR"/>
              </w:rPr>
              <w:t>Bank Account Transferor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60BD3" w14:textId="77777777" w:rsidR="007215BB" w:rsidRPr="007215BB" w:rsidRDefault="007215BB" w:rsidP="007215BB">
            <w:pPr>
              <w:jc w:val="both"/>
              <w:rPr>
                <w:color w:val="FF0000"/>
                <w:lang w:val="en-US"/>
              </w:rPr>
            </w:pPr>
            <w:r w:rsidRPr="007215BB">
              <w:rPr>
                <w:rFonts w:ascii="Arial" w:hAnsi="Arial" w:cs="Arial"/>
                <w:b/>
                <w:bCs/>
                <w:color w:val="FF0000"/>
                <w:lang w:eastAsia="el-GR"/>
              </w:rPr>
              <w:t>Receiving Entity</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07551" w14:textId="77777777" w:rsidR="007215BB" w:rsidRPr="007215BB" w:rsidRDefault="007215BB" w:rsidP="007215BB">
            <w:pPr>
              <w:jc w:val="both"/>
              <w:rPr>
                <w:color w:val="FF0000"/>
                <w:lang w:val="en-US"/>
              </w:rPr>
            </w:pPr>
            <w:r w:rsidRPr="007215BB">
              <w:rPr>
                <w:rFonts w:ascii="Arial" w:hAnsi="Arial" w:cs="Arial"/>
                <w:b/>
                <w:bCs/>
                <w:color w:val="FF0000"/>
                <w:lang w:eastAsia="el-GR"/>
              </w:rPr>
              <w:t>Bank Account Recipient</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19232" w14:textId="77777777" w:rsidR="007215BB" w:rsidRPr="007215BB" w:rsidRDefault="007215BB" w:rsidP="007215BB">
            <w:pPr>
              <w:jc w:val="both"/>
              <w:rPr>
                <w:color w:val="FF0000"/>
                <w:lang w:val="en-US"/>
              </w:rPr>
            </w:pPr>
            <w:r w:rsidRPr="007215BB">
              <w:rPr>
                <w:rFonts w:ascii="Arial" w:hAnsi="Arial" w:cs="Arial"/>
                <w:b/>
                <w:bCs/>
                <w:color w:val="FF0000"/>
                <w:lang w:eastAsia="el-GR"/>
              </w:rPr>
              <w:t>Reportable</w:t>
            </w:r>
          </w:p>
        </w:tc>
      </w:tr>
      <w:tr w:rsidR="007215BB" w:rsidRPr="007215BB" w14:paraId="68D920EE" w14:textId="77777777" w:rsidTr="007215BB">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D1CB0E" w14:textId="77777777" w:rsidR="007215BB" w:rsidRPr="007215BB" w:rsidRDefault="007215BB" w:rsidP="007215BB">
            <w:pPr>
              <w:jc w:val="both"/>
              <w:rPr>
                <w:color w:val="FF0000"/>
                <w:lang w:val="en-US"/>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206792C2" w14:textId="77777777" w:rsidR="007215BB" w:rsidRPr="007215BB" w:rsidRDefault="007215BB" w:rsidP="007215BB">
            <w:pPr>
              <w:jc w:val="both"/>
              <w:rPr>
                <w:color w:val="FF0000"/>
                <w:lang w:val="en-US"/>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4075EF93" w14:textId="77777777" w:rsidR="007215BB" w:rsidRPr="007215BB" w:rsidRDefault="007215BB" w:rsidP="007215BB">
            <w:pPr>
              <w:jc w:val="both"/>
              <w:rPr>
                <w:color w:val="FF0000"/>
                <w:lang w:val="en-US"/>
              </w:rPr>
            </w:pPr>
          </w:p>
        </w:tc>
        <w:tc>
          <w:tcPr>
            <w:tcW w:w="1844" w:type="dxa"/>
            <w:tcBorders>
              <w:top w:val="nil"/>
              <w:left w:val="nil"/>
              <w:bottom w:val="single" w:sz="8" w:space="0" w:color="auto"/>
              <w:right w:val="single" w:sz="8" w:space="0" w:color="auto"/>
            </w:tcBorders>
            <w:tcMar>
              <w:top w:w="0" w:type="dxa"/>
              <w:left w:w="108" w:type="dxa"/>
              <w:bottom w:w="0" w:type="dxa"/>
              <w:right w:w="108" w:type="dxa"/>
            </w:tcMar>
          </w:tcPr>
          <w:p w14:paraId="07749EBE" w14:textId="77777777" w:rsidR="007215BB" w:rsidRPr="007215BB" w:rsidRDefault="007215BB" w:rsidP="007215BB">
            <w:pPr>
              <w:jc w:val="both"/>
              <w:rPr>
                <w:color w:val="FF0000"/>
                <w:lang w:val="en-US"/>
              </w:rPr>
            </w:pP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14:paraId="1FFA8550" w14:textId="77777777" w:rsidR="007215BB" w:rsidRPr="007215BB" w:rsidRDefault="007215BB" w:rsidP="007215BB">
            <w:pPr>
              <w:jc w:val="both"/>
              <w:rPr>
                <w:color w:val="FF0000"/>
                <w:lang w:val="en-US"/>
              </w:rPr>
            </w:pPr>
          </w:p>
        </w:tc>
      </w:tr>
      <w:tr w:rsidR="007215BB" w:rsidRPr="007215BB" w14:paraId="71ECCF70" w14:textId="77777777" w:rsidTr="007215B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1469D"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lastRenderedPageBreak/>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8EF46A"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435842"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9D95F9"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8F3B8F"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7215BB" w:rsidRPr="007215BB" w14:paraId="43B2CC29" w14:textId="77777777" w:rsidTr="007215B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EEA82"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D74995"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2E9020"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5C01E8"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C1D26F"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r w:rsidR="007215BB" w:rsidRPr="007215BB" w14:paraId="30B68B64" w14:textId="77777777" w:rsidTr="007215B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F0C0C"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8E0952"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0843EB"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223988"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05E1DC"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Yes</w:t>
            </w:r>
          </w:p>
        </w:tc>
      </w:tr>
      <w:tr w:rsidR="007215BB" w:rsidRPr="007215BB" w14:paraId="2E4EA257" w14:textId="77777777" w:rsidTr="007215BB">
        <w:trPr>
          <w:trHeight w:val="24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E4654"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ACFDE6"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54449"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Person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69754B"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Non-EU Bank Account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C590BE" w14:textId="77777777" w:rsidR="007215BB" w:rsidRPr="007215BB" w:rsidRDefault="007215BB" w:rsidP="007215BB">
            <w:pPr>
              <w:spacing w:after="100" w:afterAutospacing="1"/>
              <w:jc w:val="both"/>
              <w:rPr>
                <w:rFonts w:ascii="Arial" w:hAnsi="Arial" w:cs="Arial"/>
                <w:color w:val="FF0000"/>
                <w:lang w:eastAsia="el-GR"/>
              </w:rPr>
            </w:pPr>
            <w:r w:rsidRPr="007215BB">
              <w:rPr>
                <w:rFonts w:ascii="Arial" w:hAnsi="Arial" w:cs="Arial"/>
                <w:color w:val="FF0000"/>
                <w:lang w:eastAsia="el-GR"/>
              </w:rPr>
              <w:t>No</w:t>
            </w:r>
          </w:p>
        </w:tc>
      </w:tr>
    </w:tbl>
    <w:p w14:paraId="05B8DDAA" w14:textId="77777777" w:rsidR="00863DCB" w:rsidRPr="007215BB" w:rsidRDefault="00863DCB" w:rsidP="00516562">
      <w:pPr>
        <w:rPr>
          <w:lang w:val="en-US"/>
        </w:rPr>
      </w:pPr>
    </w:p>
    <w:p w14:paraId="6D1151AC" w14:textId="6F720F10" w:rsidR="00516562" w:rsidRDefault="00E96BC6" w:rsidP="00516562">
      <w:pPr>
        <w:rPr>
          <w:rStyle w:val="rynqvb"/>
          <w:lang w:val="en"/>
        </w:rPr>
      </w:pPr>
      <w:r w:rsidRPr="004B6211">
        <w:rPr>
          <w:lang w:val="en-US"/>
        </w:rPr>
        <w:t>8</w:t>
      </w:r>
      <w:r w:rsidR="00516562">
        <w:rPr>
          <w:rStyle w:val="rynqvb"/>
          <w:lang w:val="en"/>
        </w:rPr>
        <w:t>) In the reporting template there is a field to be filled in by the companies regarding the LEI number.</w:t>
      </w:r>
      <w:r w:rsidR="00516562">
        <w:rPr>
          <w:rStyle w:val="hwtze"/>
          <w:lang w:val="en"/>
        </w:rPr>
        <w:t xml:space="preserve"> </w:t>
      </w:r>
      <w:r w:rsidR="00516562">
        <w:rPr>
          <w:rStyle w:val="rynqvb"/>
          <w:lang w:val="en"/>
        </w:rPr>
        <w:t xml:space="preserve">By whom should it be completed? </w:t>
      </w:r>
    </w:p>
    <w:p w14:paraId="4E7C031B" w14:textId="67DBAE1B" w:rsidR="00516562" w:rsidRDefault="00516562" w:rsidP="00730ED5">
      <w:pPr>
        <w:rPr>
          <w:rStyle w:val="rynqvb"/>
          <w:i/>
          <w:iCs/>
          <w:lang w:val="en"/>
        </w:rPr>
      </w:pPr>
      <w:r w:rsidRPr="004B6211">
        <w:rPr>
          <w:rStyle w:val="rynqvb"/>
          <w:i/>
          <w:iCs/>
          <w:lang w:val="en"/>
        </w:rPr>
        <w:t>The field should be completed by those who have an LEI number.</w:t>
      </w:r>
      <w:r w:rsidR="00730ED5">
        <w:rPr>
          <w:rStyle w:val="rynqvb"/>
          <w:i/>
          <w:iCs/>
          <w:lang w:val="en"/>
        </w:rPr>
        <w:t xml:space="preserve"> </w:t>
      </w:r>
      <w:r>
        <w:rPr>
          <w:rStyle w:val="rynqvb"/>
          <w:i/>
          <w:iCs/>
          <w:lang w:val="en"/>
        </w:rPr>
        <w:t>A</w:t>
      </w:r>
      <w:r w:rsidRPr="004B6211">
        <w:rPr>
          <w:rStyle w:val="rynqvb"/>
          <w:i/>
          <w:iCs/>
          <w:lang w:val="en"/>
        </w:rPr>
        <w:t xml:space="preserve"> company registration number should also be filled by </w:t>
      </w:r>
      <w:r>
        <w:rPr>
          <w:rStyle w:val="rynqvb"/>
          <w:i/>
          <w:iCs/>
          <w:lang w:val="en"/>
        </w:rPr>
        <w:t>everyone.</w:t>
      </w:r>
    </w:p>
    <w:p w14:paraId="69EB9384" w14:textId="77777777" w:rsidR="005720B6" w:rsidRDefault="005720B6" w:rsidP="00516562">
      <w:pPr>
        <w:rPr>
          <w:rStyle w:val="rynqvb"/>
          <w:i/>
          <w:iCs/>
          <w:lang w:val="en"/>
        </w:rPr>
      </w:pPr>
    </w:p>
    <w:p w14:paraId="743E014E" w14:textId="1E602802" w:rsidR="00516562" w:rsidRPr="007215BB" w:rsidRDefault="00516562" w:rsidP="00516562">
      <w:pPr>
        <w:rPr>
          <w:rStyle w:val="rynqvb"/>
          <w:lang w:val="en"/>
        </w:rPr>
      </w:pPr>
      <w:r w:rsidRPr="004B6211">
        <w:rPr>
          <w:rStyle w:val="rynqvb"/>
          <w:i/>
          <w:iCs/>
          <w:lang w:val="en"/>
        </w:rPr>
        <w:t xml:space="preserve"> 9) </w:t>
      </w:r>
      <w:r w:rsidRPr="007215BB">
        <w:rPr>
          <w:rStyle w:val="rynqvb"/>
          <w:lang w:val="en"/>
        </w:rPr>
        <w:t>Can we have an extension for the submission of data?</w:t>
      </w:r>
    </w:p>
    <w:p w14:paraId="0493A34B" w14:textId="4C4E901E" w:rsidR="00730ED5" w:rsidRPr="00863DCB" w:rsidRDefault="00516562" w:rsidP="003458BC">
      <w:pPr>
        <w:jc w:val="both"/>
        <w:rPr>
          <w:rStyle w:val="rynqvb"/>
          <w:i/>
          <w:iCs/>
          <w:lang w:val="en"/>
        </w:rPr>
      </w:pPr>
      <w:r w:rsidRPr="004B6211">
        <w:rPr>
          <w:rStyle w:val="rynqvb"/>
          <w:i/>
          <w:iCs/>
          <w:lang w:val="en"/>
        </w:rPr>
        <w:t>Only if such an extension is granted by the European Commission.</w:t>
      </w:r>
    </w:p>
    <w:p w14:paraId="5FFAB002" w14:textId="3BC69C7C" w:rsidR="00863DCB" w:rsidRPr="001C140B" w:rsidRDefault="001C140B" w:rsidP="003458BC">
      <w:pPr>
        <w:jc w:val="both"/>
        <w:rPr>
          <w:rStyle w:val="rynqvb"/>
          <w:b/>
          <w:bCs/>
          <w:lang w:val="en"/>
        </w:rPr>
      </w:pPr>
      <w:r w:rsidRPr="001C140B">
        <w:rPr>
          <w:rStyle w:val="rynqvb"/>
          <w:b/>
          <w:bCs/>
          <w:lang w:val="en"/>
        </w:rPr>
        <w:t>The submission of data in accordance with article 5(</w:t>
      </w:r>
      <w:r w:rsidR="00AD4B1D">
        <w:rPr>
          <w:rStyle w:val="rynqvb"/>
          <w:b/>
          <w:bCs/>
          <w:lang w:val="en"/>
        </w:rPr>
        <w:t>r</w:t>
      </w:r>
      <w:r w:rsidRPr="001C140B">
        <w:rPr>
          <w:rStyle w:val="rynqvb"/>
          <w:b/>
          <w:bCs/>
          <w:lang w:val="en"/>
        </w:rPr>
        <w:t xml:space="preserve">)(par.1) of Regulation 833/2014 is May 1st but due to Easter holidays in the Republic of Cyprus, the submission until </w:t>
      </w:r>
      <w:r w:rsidR="00AD4B1D">
        <w:rPr>
          <w:rStyle w:val="rynqvb"/>
          <w:b/>
          <w:bCs/>
          <w:lang w:val="en"/>
        </w:rPr>
        <w:t>10</w:t>
      </w:r>
      <w:r w:rsidRPr="001C140B">
        <w:rPr>
          <w:rStyle w:val="rynqvb"/>
          <w:b/>
          <w:bCs/>
          <w:lang w:val="en"/>
        </w:rPr>
        <w:t xml:space="preserve">/5/2024 </w:t>
      </w:r>
      <w:r w:rsidRPr="00D85D3B">
        <w:rPr>
          <w:rStyle w:val="rynqvb"/>
          <w:b/>
          <w:bCs/>
          <w:u w:val="single"/>
          <w:lang w:val="en"/>
        </w:rPr>
        <w:t>will not</w:t>
      </w:r>
      <w:r w:rsidRPr="001C140B">
        <w:rPr>
          <w:rStyle w:val="rynqvb"/>
          <w:b/>
          <w:bCs/>
          <w:lang w:val="en"/>
        </w:rPr>
        <w:t xml:space="preserve"> be considered </w:t>
      </w:r>
      <w:r w:rsidR="00AD4B1D">
        <w:rPr>
          <w:rStyle w:val="rynqvb"/>
          <w:b/>
          <w:bCs/>
          <w:lang w:val="en"/>
        </w:rPr>
        <w:t>overdue</w:t>
      </w:r>
      <w:r w:rsidRPr="001C140B">
        <w:rPr>
          <w:rStyle w:val="rynqvb"/>
          <w:b/>
          <w:bCs/>
          <w:lang w:val="en"/>
        </w:rPr>
        <w:t>.</w:t>
      </w:r>
    </w:p>
    <w:p w14:paraId="07C53F72" w14:textId="7CFBB925" w:rsidR="003458BC" w:rsidRDefault="004B6211" w:rsidP="003458BC">
      <w:pPr>
        <w:jc w:val="both"/>
        <w:rPr>
          <w:rStyle w:val="rynqvb"/>
          <w:lang w:val="en"/>
        </w:rPr>
      </w:pPr>
      <w:r>
        <w:rPr>
          <w:rStyle w:val="rynqvb"/>
          <w:lang w:val="en"/>
        </w:rPr>
        <w:t xml:space="preserve">10) What consequences will I have if I do not submit the information on time or correctly? </w:t>
      </w:r>
    </w:p>
    <w:p w14:paraId="402D11A1" w14:textId="31760927" w:rsidR="007C4B4B" w:rsidRDefault="004B6211" w:rsidP="00863DCB">
      <w:pPr>
        <w:jc w:val="both"/>
        <w:rPr>
          <w:i/>
          <w:iCs/>
          <w:lang w:val="en-US"/>
        </w:rPr>
      </w:pPr>
      <w:r w:rsidRPr="003458BC">
        <w:rPr>
          <w:rStyle w:val="rynqvb"/>
          <w:i/>
          <w:iCs/>
          <w:lang w:val="en"/>
        </w:rPr>
        <w:t>According to article 4 of N58(I)/2016, any person who violates any of the provisions of the Resolutions or Decisions of the Security Council (Sanctions) and/or the Decisions and Regulations of the Council of the European Union (Restrictive Measures), is guilty of an offense</w:t>
      </w:r>
      <w:r w:rsidR="003458BC" w:rsidRPr="003458BC">
        <w:rPr>
          <w:i/>
          <w:iCs/>
          <w:lang w:val="en-US"/>
        </w:rPr>
        <w:t>.</w:t>
      </w:r>
    </w:p>
    <w:p w14:paraId="2212A5B6" w14:textId="396D6D69" w:rsidR="009F13FA" w:rsidRPr="009F13FA" w:rsidRDefault="009F13FA" w:rsidP="009F13FA">
      <w:pPr>
        <w:jc w:val="both"/>
        <w:rPr>
          <w:lang w:val="en-US"/>
        </w:rPr>
      </w:pPr>
      <w:r w:rsidRPr="009F13FA">
        <w:rPr>
          <w:lang w:val="en-US"/>
        </w:rPr>
        <w:t xml:space="preserve">11) </w:t>
      </w:r>
      <w:r>
        <w:rPr>
          <w:lang w:val="en-US"/>
        </w:rPr>
        <w:t xml:space="preserve">Is there an obligation for </w:t>
      </w:r>
      <w:r w:rsidRPr="009F13FA">
        <w:rPr>
          <w:lang w:val="en-US"/>
        </w:rPr>
        <w:t>nil report</w:t>
      </w:r>
      <w:r>
        <w:rPr>
          <w:lang w:val="en-US"/>
        </w:rPr>
        <w:t>ing</w:t>
      </w:r>
      <w:r w:rsidRPr="009F13FA">
        <w:rPr>
          <w:lang w:val="en-US"/>
        </w:rPr>
        <w:t>?</w:t>
      </w:r>
    </w:p>
    <w:p w14:paraId="65C00F19" w14:textId="77777777" w:rsidR="009F13FA" w:rsidRDefault="009F13FA" w:rsidP="009F13FA">
      <w:pPr>
        <w:jc w:val="both"/>
        <w:rPr>
          <w:rStyle w:val="rynqvb"/>
          <w:lang w:val="en"/>
        </w:rPr>
      </w:pPr>
      <w:r>
        <w:rPr>
          <w:rStyle w:val="rynqvb"/>
          <w:lang w:val="en"/>
        </w:rPr>
        <w:t xml:space="preserve">No reporting obligation. </w:t>
      </w:r>
    </w:p>
    <w:p w14:paraId="0E9A5565" w14:textId="13047DC5" w:rsidR="00D85D3B" w:rsidRPr="002F4E08" w:rsidRDefault="00D85D3B" w:rsidP="009F13FA">
      <w:pPr>
        <w:jc w:val="both"/>
        <w:rPr>
          <w:rStyle w:val="rynqvb"/>
          <w:b/>
          <w:bCs/>
          <w:lang w:val="en"/>
        </w:rPr>
      </w:pPr>
      <w:r w:rsidRPr="002F4E08">
        <w:rPr>
          <w:rStyle w:val="rynqvb"/>
          <w:b/>
          <w:bCs/>
          <w:lang w:val="en"/>
        </w:rPr>
        <w:t>12) Please find attached a reporting template for Article 5r of 833/2014 which includes securities (tab 2.1)</w:t>
      </w:r>
    </w:p>
    <w:p w14:paraId="5BDF56D2" w14:textId="4665688B" w:rsidR="009F13FA" w:rsidRDefault="00D85D3B" w:rsidP="00863DCB">
      <w:pPr>
        <w:jc w:val="both"/>
        <w:rPr>
          <w:lang w:val="en-US"/>
        </w:rPr>
      </w:pPr>
      <w:r>
        <w:rPr>
          <w:lang w:val="en-US"/>
        </w:rPr>
        <w:object w:dxaOrig="1539" w:dyaOrig="997" w14:anchorId="39EB5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9" o:title=""/>
          </v:shape>
          <o:OLEObject Type="Embed" ProgID="Excel.Sheet.12" ShapeID="_x0000_i1025" DrawAspect="Icon" ObjectID="_1776769552" r:id="rId10"/>
        </w:object>
      </w:r>
    </w:p>
    <w:p w14:paraId="764995DE" w14:textId="77777777" w:rsidR="005D1B1D" w:rsidRPr="007B3019" w:rsidRDefault="00264AC5" w:rsidP="00863DCB">
      <w:pPr>
        <w:jc w:val="both"/>
        <w:rPr>
          <w:rStyle w:val="rynqvb"/>
          <w:color w:val="FF0000"/>
          <w:lang w:val="en"/>
        </w:rPr>
      </w:pPr>
      <w:r w:rsidRPr="007B3019">
        <w:rPr>
          <w:b/>
          <w:bCs/>
          <w:color w:val="FF0000"/>
          <w:lang w:val="en-US"/>
        </w:rPr>
        <w:t>13)</w:t>
      </w:r>
      <w:r w:rsidR="005D1B1D" w:rsidRPr="007B3019">
        <w:rPr>
          <w:b/>
          <w:bCs/>
          <w:color w:val="FF0000"/>
          <w:lang w:val="en-US"/>
        </w:rPr>
        <w:t xml:space="preserve"> </w:t>
      </w:r>
      <w:r w:rsidR="005D1B1D" w:rsidRPr="007B3019">
        <w:rPr>
          <w:rStyle w:val="rynqvb"/>
          <w:b/>
          <w:bCs/>
          <w:color w:val="FF0000"/>
          <w:lang w:val="en"/>
        </w:rPr>
        <w:t xml:space="preserve">To what extent do the provisions of the Regulation cover the case of former Russian citizens who have renounced their Russian citizenship, </w:t>
      </w:r>
      <w:proofErr w:type="gramStart"/>
      <w:r w:rsidR="005D1B1D" w:rsidRPr="007B3019">
        <w:rPr>
          <w:rStyle w:val="rynqvb"/>
          <w:b/>
          <w:bCs/>
          <w:color w:val="FF0000"/>
          <w:lang w:val="en"/>
        </w:rPr>
        <w:t>i.e.</w:t>
      </w:r>
      <w:proofErr w:type="gramEnd"/>
      <w:r w:rsidR="005D1B1D" w:rsidRPr="007B3019">
        <w:rPr>
          <w:rStyle w:val="rynqvb"/>
          <w:b/>
          <w:bCs/>
          <w:color w:val="FF0000"/>
          <w:lang w:val="en"/>
        </w:rPr>
        <w:t xml:space="preserve"> hold only one citizenship, which is not Russian</w:t>
      </w:r>
      <w:r w:rsidR="005D1B1D" w:rsidRPr="007B3019">
        <w:rPr>
          <w:rStyle w:val="rynqvb"/>
          <w:color w:val="FF0000"/>
          <w:lang w:val="en"/>
        </w:rPr>
        <w:t xml:space="preserve"> </w:t>
      </w:r>
    </w:p>
    <w:p w14:paraId="6263AC3E" w14:textId="33FE2ED9" w:rsidR="00264AC5" w:rsidRPr="007B3019" w:rsidRDefault="005D1B1D" w:rsidP="00863DCB">
      <w:pPr>
        <w:jc w:val="both"/>
        <w:rPr>
          <w:rStyle w:val="rynqvb"/>
          <w:i/>
          <w:iCs/>
          <w:color w:val="FF0000"/>
          <w:lang w:val="en"/>
        </w:rPr>
      </w:pPr>
      <w:r w:rsidRPr="007B3019">
        <w:rPr>
          <w:rStyle w:val="rynqvb"/>
          <w:i/>
          <w:iCs/>
          <w:color w:val="FF0000"/>
          <w:lang w:val="en"/>
        </w:rPr>
        <w:t>Once there is evidence that someone has renounced Russian citizenship and is no longer Russian, in our view, he does not fall under the provisions of Article 5r.</w:t>
      </w:r>
    </w:p>
    <w:p w14:paraId="7BC2AA3F" w14:textId="7CA7B3E4" w:rsidR="000F7317" w:rsidRPr="007B3019" w:rsidRDefault="00231695" w:rsidP="00863DCB">
      <w:pPr>
        <w:jc w:val="both"/>
        <w:rPr>
          <w:rStyle w:val="rynqvb"/>
          <w:color w:val="FF0000"/>
          <w:lang w:val="en"/>
        </w:rPr>
      </w:pPr>
      <w:r w:rsidRPr="007B3019">
        <w:rPr>
          <w:rStyle w:val="rynqvb"/>
          <w:b/>
          <w:bCs/>
          <w:color w:val="FF0000"/>
          <w:lang w:val="en"/>
        </w:rPr>
        <w:t xml:space="preserve">14) </w:t>
      </w:r>
      <w:r w:rsidRPr="007B3019">
        <w:rPr>
          <w:rStyle w:val="rynqvb"/>
          <w:b/>
          <w:bCs/>
          <w:color w:val="FF0000"/>
          <w:lang w:val="en-US"/>
        </w:rPr>
        <w:t>A Cyprus company</w:t>
      </w:r>
      <w:r w:rsidRPr="007B3019">
        <w:rPr>
          <w:rStyle w:val="rynqvb"/>
          <w:b/>
          <w:bCs/>
          <w:color w:val="FF0000"/>
          <w:lang w:val="en"/>
        </w:rPr>
        <w:t xml:space="preserve"> is owned by a discretionary trust </w:t>
      </w:r>
      <w:r w:rsidR="00DF5032">
        <w:rPr>
          <w:rStyle w:val="rynqvb"/>
          <w:b/>
          <w:bCs/>
          <w:color w:val="FF0000"/>
          <w:lang w:val="en"/>
        </w:rPr>
        <w:t>(</w:t>
      </w:r>
      <w:r w:rsidRPr="007B3019">
        <w:rPr>
          <w:rStyle w:val="rynqvb"/>
          <w:b/>
          <w:bCs/>
          <w:color w:val="FF0000"/>
          <w:lang w:val="en"/>
        </w:rPr>
        <w:t>with a non-EU trustee</w:t>
      </w:r>
      <w:r w:rsidR="00DF5032">
        <w:rPr>
          <w:rStyle w:val="rynqvb"/>
          <w:b/>
          <w:bCs/>
          <w:color w:val="FF0000"/>
          <w:lang w:val="en"/>
        </w:rPr>
        <w:t>)</w:t>
      </w:r>
      <w:r w:rsidR="000F7317" w:rsidRPr="007B3019">
        <w:rPr>
          <w:rStyle w:val="rynqvb"/>
          <w:b/>
          <w:bCs/>
          <w:color w:val="FF0000"/>
          <w:lang w:val="en"/>
        </w:rPr>
        <w:t>. The</w:t>
      </w:r>
      <w:r w:rsidRPr="007B3019">
        <w:rPr>
          <w:rStyle w:val="rynqvb"/>
          <w:b/>
          <w:bCs/>
          <w:color w:val="FF0000"/>
          <w:lang w:val="en"/>
        </w:rPr>
        <w:t xml:space="preserve"> trust has two beneficiaries, one Russian national and one EU national</w:t>
      </w:r>
      <w:r w:rsidR="000F7317" w:rsidRPr="007B3019">
        <w:rPr>
          <w:rStyle w:val="rynqvb"/>
          <w:b/>
          <w:bCs/>
          <w:color w:val="FF0000"/>
          <w:lang w:val="en"/>
        </w:rPr>
        <w:t>. N</w:t>
      </w:r>
      <w:r w:rsidRPr="007B3019">
        <w:rPr>
          <w:rStyle w:val="rynqvb"/>
          <w:b/>
          <w:bCs/>
          <w:color w:val="FF0000"/>
          <w:lang w:val="en"/>
        </w:rPr>
        <w:t>o distributions have been made so far</w:t>
      </w:r>
      <w:r w:rsidR="000F7317" w:rsidRPr="007B3019">
        <w:rPr>
          <w:rStyle w:val="rynqvb"/>
          <w:b/>
          <w:bCs/>
          <w:color w:val="FF0000"/>
          <w:lang w:val="en"/>
        </w:rPr>
        <w:t>. I</w:t>
      </w:r>
      <w:r w:rsidRPr="007B3019">
        <w:rPr>
          <w:rStyle w:val="rynqvb"/>
          <w:b/>
          <w:bCs/>
          <w:color w:val="FF0000"/>
          <w:lang w:val="en"/>
        </w:rPr>
        <w:t xml:space="preserve">s </w:t>
      </w:r>
      <w:r w:rsidR="000F7317" w:rsidRPr="007B3019">
        <w:rPr>
          <w:rStyle w:val="rynqvb"/>
          <w:b/>
          <w:bCs/>
          <w:color w:val="FF0000"/>
          <w:lang w:val="en"/>
        </w:rPr>
        <w:t xml:space="preserve">it </w:t>
      </w:r>
      <w:r w:rsidRPr="007B3019">
        <w:rPr>
          <w:rStyle w:val="rynqvb"/>
          <w:b/>
          <w:bCs/>
          <w:color w:val="FF0000"/>
          <w:lang w:val="en"/>
        </w:rPr>
        <w:t>considered that the Cypriot</w:t>
      </w:r>
      <w:r w:rsidRPr="007B3019">
        <w:rPr>
          <w:rStyle w:val="hwtze"/>
          <w:b/>
          <w:bCs/>
          <w:color w:val="FF0000"/>
          <w:lang w:val="en"/>
        </w:rPr>
        <w:t xml:space="preserve"> </w:t>
      </w:r>
      <w:r w:rsidRPr="007B3019">
        <w:rPr>
          <w:rStyle w:val="rynqvb"/>
          <w:b/>
          <w:bCs/>
          <w:color w:val="FF0000"/>
          <w:lang w:val="en"/>
        </w:rPr>
        <w:t>company</w:t>
      </w:r>
      <w:r w:rsidR="00DF5032">
        <w:rPr>
          <w:rStyle w:val="rynqvb"/>
          <w:b/>
          <w:bCs/>
          <w:color w:val="FF0000"/>
          <w:lang w:val="en"/>
        </w:rPr>
        <w:t>,</w:t>
      </w:r>
      <w:r w:rsidRPr="007B3019">
        <w:rPr>
          <w:rStyle w:val="rynqvb"/>
          <w:b/>
          <w:bCs/>
          <w:color w:val="FF0000"/>
          <w:lang w:val="en"/>
        </w:rPr>
        <w:t xml:space="preserve"> is more than</w:t>
      </w:r>
      <w:r w:rsidR="00DF5032">
        <w:rPr>
          <w:rStyle w:val="rynqvb"/>
          <w:b/>
          <w:bCs/>
          <w:color w:val="FF0000"/>
          <w:lang w:val="en"/>
        </w:rPr>
        <w:t>,</w:t>
      </w:r>
      <w:r w:rsidRPr="007B3019">
        <w:rPr>
          <w:rStyle w:val="rynqvb"/>
          <w:b/>
          <w:bCs/>
          <w:color w:val="FF0000"/>
          <w:lang w:val="en"/>
        </w:rPr>
        <w:t xml:space="preserve"> 40% owned by a Russian citizen so it is subject to the reporting obligation of article 5</w:t>
      </w:r>
      <w:r w:rsidR="000F7317" w:rsidRPr="007B3019">
        <w:rPr>
          <w:rStyle w:val="rynqvb"/>
          <w:b/>
          <w:bCs/>
          <w:color w:val="FF0000"/>
          <w:lang w:val="en"/>
        </w:rPr>
        <w:t>r?</w:t>
      </w:r>
    </w:p>
    <w:p w14:paraId="41508ACF" w14:textId="05D72B2B" w:rsidR="00231695" w:rsidRDefault="00231695" w:rsidP="00863DCB">
      <w:pPr>
        <w:jc w:val="both"/>
        <w:rPr>
          <w:rStyle w:val="rynqvb"/>
          <w:color w:val="FF0000"/>
          <w:lang w:val="en"/>
        </w:rPr>
      </w:pPr>
      <w:r w:rsidRPr="007B3019">
        <w:rPr>
          <w:rStyle w:val="rynqvb"/>
          <w:i/>
          <w:iCs/>
          <w:color w:val="FF0000"/>
          <w:lang w:val="en"/>
        </w:rPr>
        <w:lastRenderedPageBreak/>
        <w:t xml:space="preserve">According to the </w:t>
      </w:r>
      <w:r w:rsidR="00DF5032" w:rsidRPr="007B3019">
        <w:rPr>
          <w:rStyle w:val="rynqvb"/>
          <w:i/>
          <w:iCs/>
          <w:color w:val="FF0000"/>
          <w:lang w:val="en"/>
        </w:rPr>
        <w:t>AML/CFT Law</w:t>
      </w:r>
      <w:r w:rsidR="00DF5032">
        <w:rPr>
          <w:rStyle w:val="rynqvb"/>
          <w:i/>
          <w:iCs/>
          <w:color w:val="FF0000"/>
          <w:lang w:val="en"/>
        </w:rPr>
        <w:t>,</w:t>
      </w:r>
      <w:r w:rsidR="00DF5032" w:rsidRPr="007B3019">
        <w:rPr>
          <w:rStyle w:val="rynqvb"/>
          <w:i/>
          <w:iCs/>
          <w:color w:val="FF0000"/>
          <w:lang w:val="en"/>
        </w:rPr>
        <w:t xml:space="preserve"> </w:t>
      </w:r>
      <w:r w:rsidR="00DF5032">
        <w:rPr>
          <w:rStyle w:val="rynqvb"/>
          <w:i/>
          <w:iCs/>
          <w:color w:val="FF0000"/>
          <w:lang w:val="en"/>
        </w:rPr>
        <w:t xml:space="preserve">the </w:t>
      </w:r>
      <w:r w:rsidR="00DF5032" w:rsidRPr="007B3019">
        <w:rPr>
          <w:rStyle w:val="rynqvb"/>
          <w:i/>
          <w:iCs/>
          <w:color w:val="FF0000"/>
          <w:lang w:val="en"/>
        </w:rPr>
        <w:t xml:space="preserve">beneficial owner of a trust </w:t>
      </w:r>
      <w:r w:rsidRPr="007B3019">
        <w:rPr>
          <w:rStyle w:val="rynqvb"/>
          <w:i/>
          <w:iCs/>
          <w:color w:val="FF0000"/>
          <w:lang w:val="en"/>
        </w:rPr>
        <w:t>can be: the settlor, the trustee, the protector, the beneficiary and any</w:t>
      </w:r>
      <w:r w:rsidRPr="007B3019">
        <w:rPr>
          <w:rStyle w:val="hwtze"/>
          <w:i/>
          <w:iCs/>
          <w:color w:val="FF0000"/>
          <w:lang w:val="en"/>
        </w:rPr>
        <w:t xml:space="preserve"> </w:t>
      </w:r>
      <w:r w:rsidRPr="007B3019">
        <w:rPr>
          <w:rStyle w:val="rynqvb"/>
          <w:i/>
          <w:iCs/>
          <w:color w:val="FF0000"/>
          <w:lang w:val="en"/>
        </w:rPr>
        <w:t xml:space="preserve">another natural person </w:t>
      </w:r>
      <w:r w:rsidR="00880E30">
        <w:rPr>
          <w:rStyle w:val="rynqvb"/>
          <w:i/>
          <w:iCs/>
          <w:color w:val="FF0000"/>
          <w:lang w:val="en"/>
        </w:rPr>
        <w:t xml:space="preserve">that </w:t>
      </w:r>
      <w:r w:rsidRPr="007B3019">
        <w:rPr>
          <w:rStyle w:val="rynqvb"/>
          <w:i/>
          <w:iCs/>
          <w:color w:val="FF0000"/>
          <w:lang w:val="en"/>
        </w:rPr>
        <w:t>exercises ultimate control of the trust through direct or indirect ownership or by other means.</w:t>
      </w:r>
      <w:r w:rsidRPr="007B3019">
        <w:rPr>
          <w:rStyle w:val="hwtze"/>
          <w:i/>
          <w:iCs/>
          <w:color w:val="FF0000"/>
          <w:lang w:val="en"/>
        </w:rPr>
        <w:t xml:space="preserve"> </w:t>
      </w:r>
      <w:r w:rsidRPr="007B3019">
        <w:rPr>
          <w:rStyle w:val="rynqvb"/>
          <w:i/>
          <w:iCs/>
          <w:color w:val="FF0000"/>
          <w:lang w:val="en"/>
        </w:rPr>
        <w:t>The AML/CFT Law</w:t>
      </w:r>
      <w:r w:rsidR="00880E30">
        <w:rPr>
          <w:rStyle w:val="rynqvb"/>
          <w:i/>
          <w:iCs/>
          <w:color w:val="FF0000"/>
          <w:lang w:val="en"/>
        </w:rPr>
        <w:t>,</w:t>
      </w:r>
      <w:r w:rsidRPr="007B3019">
        <w:rPr>
          <w:rStyle w:val="rynqvb"/>
          <w:i/>
          <w:iCs/>
          <w:color w:val="FF0000"/>
          <w:lang w:val="en"/>
        </w:rPr>
        <w:t xml:space="preserve"> does not distinguish the case of the </w:t>
      </w:r>
      <w:r w:rsidR="000F7317" w:rsidRPr="007B3019">
        <w:rPr>
          <w:rStyle w:val="rynqvb"/>
          <w:i/>
          <w:iCs/>
          <w:color w:val="FF0000"/>
          <w:lang w:val="en"/>
        </w:rPr>
        <w:t>discretionary trust</w:t>
      </w:r>
      <w:r w:rsidRPr="007B3019">
        <w:rPr>
          <w:rStyle w:val="rynqvb"/>
          <w:i/>
          <w:iCs/>
          <w:color w:val="FF0000"/>
          <w:lang w:val="en"/>
        </w:rPr>
        <w:t>, so in our view, the above applies to the d</w:t>
      </w:r>
      <w:r w:rsidR="000F7317" w:rsidRPr="007B3019">
        <w:rPr>
          <w:rStyle w:val="rynqvb"/>
          <w:i/>
          <w:iCs/>
          <w:color w:val="FF0000"/>
          <w:lang w:val="en"/>
        </w:rPr>
        <w:t>iscretionary</w:t>
      </w:r>
      <w:r w:rsidRPr="007B3019">
        <w:rPr>
          <w:rStyle w:val="rynqvb"/>
          <w:i/>
          <w:iCs/>
          <w:color w:val="FF0000"/>
          <w:lang w:val="en"/>
        </w:rPr>
        <w:t xml:space="preserve"> trust as well.</w:t>
      </w:r>
      <w:r w:rsidRPr="007B3019">
        <w:rPr>
          <w:rStyle w:val="hwtze"/>
          <w:i/>
          <w:iCs/>
          <w:color w:val="FF0000"/>
          <w:lang w:val="en"/>
        </w:rPr>
        <w:t xml:space="preserve"> </w:t>
      </w:r>
      <w:r w:rsidRPr="007B3019">
        <w:rPr>
          <w:rStyle w:val="rynqvb"/>
          <w:i/>
          <w:iCs/>
          <w:color w:val="FF0000"/>
          <w:lang w:val="en"/>
        </w:rPr>
        <w:t>In example</w:t>
      </w:r>
      <w:r w:rsidR="00880E30">
        <w:rPr>
          <w:rStyle w:val="rynqvb"/>
          <w:i/>
          <w:iCs/>
          <w:color w:val="FF0000"/>
          <w:lang w:val="en"/>
        </w:rPr>
        <w:t xml:space="preserve"> above</w:t>
      </w:r>
      <w:r w:rsidRPr="007B3019">
        <w:rPr>
          <w:rStyle w:val="rynqvb"/>
          <w:i/>
          <w:iCs/>
          <w:color w:val="FF0000"/>
          <w:lang w:val="en"/>
        </w:rPr>
        <w:t>, there are two beneficiaries of the trust and given that there are no provisions in the trust deed that specifically set the percentage of the Russian beneficiary's interest at less than 40%, in our view, this case is reportable</w:t>
      </w:r>
      <w:r w:rsidRPr="007B3019">
        <w:rPr>
          <w:rStyle w:val="rynqvb"/>
          <w:color w:val="FF0000"/>
          <w:lang w:val="en"/>
        </w:rPr>
        <w:t>.</w:t>
      </w:r>
    </w:p>
    <w:sectPr w:rsidR="00231695" w:rsidSect="00020CE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FC"/>
    <w:multiLevelType w:val="hybridMultilevel"/>
    <w:tmpl w:val="3CB4264A"/>
    <w:lvl w:ilvl="0" w:tplc="7D4EB81A">
      <w:start w:val="1"/>
      <w:numFmt w:val="lowerRoman"/>
      <w:lvlText w:val="(%1)"/>
      <w:lvlJc w:val="left"/>
      <w:pPr>
        <w:ind w:left="2160" w:hanging="72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num w:numId="1" w16cid:durableId="1125075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90"/>
    <w:rsid w:val="00020CE4"/>
    <w:rsid w:val="00060EBB"/>
    <w:rsid w:val="000F6B5B"/>
    <w:rsid w:val="000F7317"/>
    <w:rsid w:val="001136C9"/>
    <w:rsid w:val="00163DBF"/>
    <w:rsid w:val="001C140B"/>
    <w:rsid w:val="001E241F"/>
    <w:rsid w:val="00231695"/>
    <w:rsid w:val="00243E7B"/>
    <w:rsid w:val="00264AC5"/>
    <w:rsid w:val="002C6C61"/>
    <w:rsid w:val="002E60E9"/>
    <w:rsid w:val="002F4E08"/>
    <w:rsid w:val="00323B12"/>
    <w:rsid w:val="003458BC"/>
    <w:rsid w:val="003876DC"/>
    <w:rsid w:val="004B6211"/>
    <w:rsid w:val="00516562"/>
    <w:rsid w:val="005720B6"/>
    <w:rsid w:val="0059795D"/>
    <w:rsid w:val="005B235E"/>
    <w:rsid w:val="005D1B1D"/>
    <w:rsid w:val="00624F64"/>
    <w:rsid w:val="00633D49"/>
    <w:rsid w:val="00664854"/>
    <w:rsid w:val="007215BB"/>
    <w:rsid w:val="00730ED5"/>
    <w:rsid w:val="00770567"/>
    <w:rsid w:val="00773664"/>
    <w:rsid w:val="007B3019"/>
    <w:rsid w:val="007C4B4B"/>
    <w:rsid w:val="00806F1C"/>
    <w:rsid w:val="0082549D"/>
    <w:rsid w:val="00835970"/>
    <w:rsid w:val="00863DCB"/>
    <w:rsid w:val="00880E30"/>
    <w:rsid w:val="008850AE"/>
    <w:rsid w:val="008A6FC9"/>
    <w:rsid w:val="008D267C"/>
    <w:rsid w:val="00996255"/>
    <w:rsid w:val="009F13FA"/>
    <w:rsid w:val="00A67107"/>
    <w:rsid w:val="00A969D7"/>
    <w:rsid w:val="00AB2D4F"/>
    <w:rsid w:val="00AD4B1D"/>
    <w:rsid w:val="00B02255"/>
    <w:rsid w:val="00B51584"/>
    <w:rsid w:val="00B9086F"/>
    <w:rsid w:val="00C22A90"/>
    <w:rsid w:val="00C34F5D"/>
    <w:rsid w:val="00C816D5"/>
    <w:rsid w:val="00CD3A60"/>
    <w:rsid w:val="00D85D3B"/>
    <w:rsid w:val="00DF5032"/>
    <w:rsid w:val="00E04C49"/>
    <w:rsid w:val="00E36639"/>
    <w:rsid w:val="00E52450"/>
    <w:rsid w:val="00E71733"/>
    <w:rsid w:val="00E96BC6"/>
    <w:rsid w:val="00EA1C5F"/>
    <w:rsid w:val="00ED339E"/>
    <w:rsid w:val="00F314A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17568"/>
  <w15:chartTrackingRefBased/>
  <w15:docId w15:val="{F51F88F6-991A-428E-BF04-3D23CAF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C22A90"/>
  </w:style>
  <w:style w:type="paragraph" w:customStyle="1" w:styleId="Point0">
    <w:name w:val="Point 0"/>
    <w:basedOn w:val="Normal"/>
    <w:uiPriority w:val="99"/>
    <w:rsid w:val="00C22A90"/>
    <w:pPr>
      <w:autoSpaceDE w:val="0"/>
      <w:autoSpaceDN w:val="0"/>
      <w:spacing w:before="120" w:after="120" w:line="240" w:lineRule="auto"/>
      <w:ind w:left="851" w:hanging="851"/>
      <w:jc w:val="both"/>
    </w:pPr>
    <w:rPr>
      <w:rFonts w:ascii="Times New Roman" w:eastAsiaTheme="minorEastAsia" w:hAnsi="Times New Roman" w:cs="Times New Roman"/>
      <w:kern w:val="0"/>
      <w:sz w:val="24"/>
      <w:szCs w:val="24"/>
      <w:lang w:val="en-IE" w:eastAsia="en-IE" w:bidi="ar-SA"/>
      <w14:ligatures w14:val="none"/>
    </w:rPr>
  </w:style>
  <w:style w:type="paragraph" w:styleId="ListParagraph">
    <w:name w:val="List Paragraph"/>
    <w:basedOn w:val="Normal"/>
    <w:uiPriority w:val="34"/>
    <w:qFormat/>
    <w:rsid w:val="00C22A90"/>
    <w:pPr>
      <w:spacing w:after="0" w:line="240" w:lineRule="auto"/>
      <w:ind w:left="720"/>
    </w:pPr>
    <w:rPr>
      <w:rFonts w:ascii="Calibri" w:hAnsi="Calibri" w:cs="Calibri"/>
      <w:kern w:val="0"/>
      <w:sz w:val="20"/>
      <w:szCs w:val="20"/>
      <w14:ligatures w14:val="none"/>
    </w:rPr>
  </w:style>
  <w:style w:type="paragraph" w:styleId="Revision">
    <w:name w:val="Revision"/>
    <w:hidden/>
    <w:uiPriority w:val="99"/>
    <w:semiHidden/>
    <w:rsid w:val="00996255"/>
    <w:pPr>
      <w:spacing w:after="0" w:line="240" w:lineRule="auto"/>
    </w:pPr>
  </w:style>
  <w:style w:type="character" w:customStyle="1" w:styleId="hwtze">
    <w:name w:val="hwtze"/>
    <w:basedOn w:val="DefaultParagraphFont"/>
    <w:rsid w:val="00E04C49"/>
  </w:style>
  <w:style w:type="character" w:styleId="Hyperlink">
    <w:name w:val="Hyperlink"/>
    <w:basedOn w:val="DefaultParagraphFont"/>
    <w:uiPriority w:val="99"/>
    <w:unhideWhenUsed/>
    <w:rsid w:val="00D85D3B"/>
    <w:rPr>
      <w:color w:val="0563C1" w:themeColor="hyperlink"/>
      <w:u w:val="single"/>
    </w:rPr>
  </w:style>
  <w:style w:type="character" w:styleId="UnresolvedMention">
    <w:name w:val="Unresolved Mention"/>
    <w:basedOn w:val="DefaultParagraphFont"/>
    <w:uiPriority w:val="99"/>
    <w:semiHidden/>
    <w:unhideWhenUsed/>
    <w:rsid w:val="00D85D3B"/>
    <w:rPr>
      <w:color w:val="605E5C"/>
      <w:shd w:val="clear" w:color="auto" w:fill="E1DFDD"/>
    </w:rPr>
  </w:style>
  <w:style w:type="character" w:customStyle="1" w:styleId="xapple-converted-space">
    <w:name w:val="x_apple-converted-space"/>
    <w:basedOn w:val="DefaultParagraphFont"/>
    <w:rsid w:val="008850AE"/>
  </w:style>
  <w:style w:type="character" w:styleId="Strong">
    <w:name w:val="Strong"/>
    <w:basedOn w:val="DefaultParagraphFont"/>
    <w:uiPriority w:val="22"/>
    <w:qFormat/>
    <w:rsid w:val="008850AE"/>
    <w:rPr>
      <w:b/>
      <w:bCs/>
    </w:rPr>
  </w:style>
  <w:style w:type="character" w:styleId="Emphasis">
    <w:name w:val="Emphasis"/>
    <w:basedOn w:val="DefaultParagraphFont"/>
    <w:uiPriority w:val="20"/>
    <w:qFormat/>
    <w:rsid w:val="00885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9126">
      <w:bodyDiv w:val="1"/>
      <w:marLeft w:val="0"/>
      <w:marRight w:val="0"/>
      <w:marTop w:val="0"/>
      <w:marBottom w:val="0"/>
      <w:divBdr>
        <w:top w:val="none" w:sz="0" w:space="0" w:color="auto"/>
        <w:left w:val="none" w:sz="0" w:space="0" w:color="auto"/>
        <w:bottom w:val="none" w:sz="0" w:space="0" w:color="auto"/>
        <w:right w:val="none" w:sz="0" w:space="0" w:color="auto"/>
      </w:divBdr>
    </w:div>
    <w:div w:id="1785078728">
      <w:bodyDiv w:val="1"/>
      <w:marLeft w:val="0"/>
      <w:marRight w:val="0"/>
      <w:marTop w:val="0"/>
      <w:marBottom w:val="0"/>
      <w:divBdr>
        <w:top w:val="none" w:sz="0" w:space="0" w:color="auto"/>
        <w:left w:val="none" w:sz="0" w:space="0" w:color="auto"/>
        <w:bottom w:val="none" w:sz="0" w:space="0" w:color="auto"/>
        <w:right w:val="none" w:sz="0" w:space="0" w:color="auto"/>
      </w:divBdr>
    </w:div>
    <w:div w:id="2132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d12891-783c-4915-b246-78fc867aa9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C6D4FEE961E438C34C9D82FF34315" ma:contentTypeVersion="16" ma:contentTypeDescription="Create a new document." ma:contentTypeScope="" ma:versionID="207184619d81bb68539341cc94cbf923">
  <xsd:schema xmlns:xsd="http://www.w3.org/2001/XMLSchema" xmlns:xs="http://www.w3.org/2001/XMLSchema" xmlns:p="http://schemas.microsoft.com/office/2006/metadata/properties" xmlns:ns3="24d12891-783c-4915-b246-78fc867aa980" xmlns:ns4="1e42c077-9876-4ae1-929a-11ab649628f1" targetNamespace="http://schemas.microsoft.com/office/2006/metadata/properties" ma:root="true" ma:fieldsID="cc403324447776b804f75879b53a6760" ns3:_="" ns4:_="">
    <xsd:import namespace="24d12891-783c-4915-b246-78fc867aa980"/>
    <xsd:import namespace="1e42c077-9876-4ae1-929a-11ab649628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2891-783c-4915-b246-78fc867aa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2c077-9876-4ae1-929a-11ab649628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9E795-8D4C-476B-9C88-E8ED00910245}">
  <ds:schemaRefs>
    <ds:schemaRef ds:uri="http://schemas.microsoft.com/office/2006/documentManagement/types"/>
    <ds:schemaRef ds:uri="http://schemas.microsoft.com/office/2006/metadata/properties"/>
    <ds:schemaRef ds:uri="http://www.w3.org/XML/1998/namespace"/>
    <ds:schemaRef ds:uri="http://purl.org/dc/elements/1.1/"/>
    <ds:schemaRef ds:uri="24d12891-783c-4915-b246-78fc867aa980"/>
    <ds:schemaRef ds:uri="http://schemas.openxmlformats.org/package/2006/metadata/core-properties"/>
    <ds:schemaRef ds:uri="http://schemas.microsoft.com/office/infopath/2007/PartnerControls"/>
    <ds:schemaRef ds:uri="1e42c077-9876-4ae1-929a-11ab649628f1"/>
    <ds:schemaRef ds:uri="http://purl.org/dc/dcmitype/"/>
    <ds:schemaRef ds:uri="http://purl.org/dc/terms/"/>
  </ds:schemaRefs>
</ds:datastoreItem>
</file>

<file path=customXml/itemProps2.xml><?xml version="1.0" encoding="utf-8"?>
<ds:datastoreItem xmlns:ds="http://schemas.openxmlformats.org/officeDocument/2006/customXml" ds:itemID="{AD443595-8AF9-4962-84CF-B977708F1F2C}">
  <ds:schemaRefs>
    <ds:schemaRef ds:uri="http://schemas.openxmlformats.org/officeDocument/2006/bibliography"/>
  </ds:schemaRefs>
</ds:datastoreItem>
</file>

<file path=customXml/itemProps3.xml><?xml version="1.0" encoding="utf-8"?>
<ds:datastoreItem xmlns:ds="http://schemas.openxmlformats.org/officeDocument/2006/customXml" ds:itemID="{D1BD381A-B639-44E3-AF38-087D4E22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2891-783c-4915-b246-78fc867aa980"/>
    <ds:schemaRef ds:uri="1e42c077-9876-4ae1-929a-11ab64962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DB37E-DDCE-4C99-ACE8-FB104F246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Hapside</dc:creator>
  <cp:keywords/>
  <dc:description/>
  <cp:lastModifiedBy>Georgia Themistocleous</cp:lastModifiedBy>
  <cp:revision>2</cp:revision>
  <cp:lastPrinted>2024-04-23T05:54:00Z</cp:lastPrinted>
  <dcterms:created xsi:type="dcterms:W3CDTF">2024-05-09T11:19:00Z</dcterms:created>
  <dcterms:modified xsi:type="dcterms:W3CDTF">2024-05-09T11:19:00Z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0x010100588C6D4FEE961E438C34C9D82FF34315</vt:lpwstr>
  </property>
</Properties>
</file>