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3DB0E" w14:textId="55D09ABA" w:rsidR="00B8663A" w:rsidRDefault="00CC5515">
      <w:pPr>
        <w:pStyle w:val="P68B1DB1-Normal1"/>
        <w:spacing w:line="276" w:lineRule="auto"/>
        <w:jc w:val="center"/>
      </w:pPr>
      <w:r w:rsidRPr="00CC5515">
        <w:t xml:space="preserve">Η ΔΙΑΔΙΚΑΣΙΑ ΠΡΟΔΙΚΑΣΤΙΚΗΣ ΠΑΡΑΠΟΜΠΗΣ </w:t>
      </w:r>
      <w:r w:rsidR="001523AD">
        <w:rPr>
          <w:lang w:val="el-GR"/>
        </w:rPr>
        <w:t>ΣΤΗΝ</w:t>
      </w:r>
      <w:r w:rsidRPr="00CC5515">
        <w:t xml:space="preserve"> ΠΡΟΣΦΑΤΗ</w:t>
      </w:r>
      <w:r w:rsidR="00FD6843">
        <w:t xml:space="preserve"> </w:t>
      </w:r>
      <w:r w:rsidR="00375773">
        <w:rPr>
          <w:lang w:val="el-GR"/>
        </w:rPr>
        <w:t>ΝΟΜΟΛΟΓΙΑ ΤΟΥ ΔΙΚΑΣΤΗΡΙΟΥ ΤΗΣ ΕΥΡΩΠΑΪΚΗΣ ΕΝΩΣΗΣ</w:t>
      </w:r>
    </w:p>
    <w:p w14:paraId="5E577EED" w14:textId="1B1B51F1" w:rsidR="00B8663A" w:rsidRDefault="00FD6843">
      <w:pPr>
        <w:pStyle w:val="P68B1DB1-Normal2"/>
        <w:spacing w:line="276" w:lineRule="auto"/>
        <w:jc w:val="center"/>
        <w:rPr>
          <w:sz w:val="26"/>
        </w:rPr>
      </w:pPr>
      <w:r>
        <w:rPr>
          <w:sz w:val="32"/>
        </w:rPr>
        <w:br/>
      </w:r>
      <w:r>
        <w:rPr>
          <w:sz w:val="26"/>
        </w:rPr>
        <w:t xml:space="preserve"> </w:t>
      </w:r>
      <w:r w:rsidR="0045625F">
        <w:rPr>
          <w:sz w:val="26"/>
          <w:lang w:val="el-GR"/>
        </w:rPr>
        <w:t>ΟΜΙΛΙΑ ΣΤΟ ΑΝΩΤΑΤΟ ΔΙΚΑΣΤΗΡΙΟ ΤΗΣ ΚΥΠΡΙΑΚΗΣ ΔΗΜΟΚΡΑΤΙΑΣ</w:t>
      </w:r>
    </w:p>
    <w:p w14:paraId="5DAD37F1" w14:textId="454B63F2" w:rsidR="00B8663A" w:rsidRPr="00CC5515" w:rsidRDefault="0045625F">
      <w:pPr>
        <w:spacing w:line="276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i/>
          <w:sz w:val="24"/>
          <w:lang w:val="el-GR"/>
        </w:rPr>
        <w:t>Νικόλας Αιμιλίου</w:t>
      </w:r>
      <w:r w:rsidR="00FD6843" w:rsidRPr="00CC5515">
        <w:rPr>
          <w:rFonts w:ascii="Times New Roman" w:hAnsi="Times New Roman" w:cs="Times New Roman"/>
          <w:i/>
          <w:sz w:val="24"/>
        </w:rPr>
        <w:t xml:space="preserve"> </w:t>
      </w:r>
      <w:r w:rsidR="00FD6843" w:rsidRPr="00CC5515">
        <w:rPr>
          <w:rFonts w:ascii="Times New Roman" w:hAnsi="Times New Roman" w:cs="Times New Roman"/>
          <w:smallCaps/>
          <w:sz w:val="24"/>
        </w:rPr>
        <w:t>(</w:t>
      </w:r>
      <w:r w:rsidR="00FD6843">
        <w:rPr>
          <w:rStyle w:val="FootnoteReference"/>
          <w:rFonts w:ascii="Times New Roman" w:hAnsi="Times New Roman" w:cs="Times New Roman"/>
          <w:smallCaps/>
          <w:sz w:val="24"/>
        </w:rPr>
        <w:footnoteReference w:customMarkFollows="1" w:id="1"/>
        <w:sym w:font="Symbol" w:char="F02A"/>
      </w:r>
      <w:r w:rsidR="00FD6843" w:rsidRPr="00CC5515">
        <w:rPr>
          <w:rFonts w:ascii="Times New Roman" w:hAnsi="Times New Roman" w:cs="Times New Roman"/>
          <w:smallCaps/>
          <w:sz w:val="24"/>
        </w:rPr>
        <w:t>)</w:t>
      </w:r>
    </w:p>
    <w:p w14:paraId="5947FD54" w14:textId="77777777" w:rsidR="00B8663A" w:rsidRPr="00CC5515" w:rsidRDefault="00B8663A">
      <w:pPr>
        <w:spacing w:line="276" w:lineRule="auto"/>
        <w:jc w:val="both"/>
        <w:rPr>
          <w:rFonts w:ascii="Times New Roman" w:hAnsi="Times New Roman" w:cs="Times New Roman"/>
          <w:b/>
          <w:smallCaps/>
          <w:sz w:val="28"/>
        </w:rPr>
      </w:pPr>
    </w:p>
    <w:p w14:paraId="39CE651E" w14:textId="30E4929A" w:rsidR="00B8663A" w:rsidRPr="00003B01" w:rsidRDefault="000C3348">
      <w:pPr>
        <w:pStyle w:val="P68B1DB1-Normal3"/>
        <w:spacing w:line="276" w:lineRule="auto"/>
        <w:jc w:val="both"/>
        <w:rPr>
          <w:sz w:val="28"/>
          <w:szCs w:val="28"/>
        </w:rPr>
      </w:pPr>
      <w:r w:rsidRPr="00003B01">
        <w:rPr>
          <w:sz w:val="28"/>
          <w:szCs w:val="28"/>
        </w:rPr>
        <w:t>Είναι τιμ</w:t>
      </w:r>
      <w:r w:rsidRPr="00003B01">
        <w:rPr>
          <w:sz w:val="28"/>
          <w:szCs w:val="28"/>
          <w:lang w:val="el-GR"/>
        </w:rPr>
        <w:t xml:space="preserve">ή μου να βρίσκομαι </w:t>
      </w:r>
      <w:r w:rsidR="0058434E" w:rsidRPr="00003B01">
        <w:rPr>
          <w:sz w:val="28"/>
          <w:szCs w:val="28"/>
        </w:rPr>
        <w:t>σήμερα</w:t>
      </w:r>
      <w:r w:rsidR="0058434E" w:rsidRPr="00003B01">
        <w:rPr>
          <w:sz w:val="28"/>
          <w:szCs w:val="28"/>
          <w:lang w:val="el-GR"/>
        </w:rPr>
        <w:t xml:space="preserve"> </w:t>
      </w:r>
      <w:r w:rsidR="0045625F" w:rsidRPr="00003B01">
        <w:rPr>
          <w:sz w:val="28"/>
          <w:szCs w:val="28"/>
          <w:lang w:val="el-GR"/>
        </w:rPr>
        <w:t xml:space="preserve">μαζί σας </w:t>
      </w:r>
      <w:r w:rsidR="0058434E" w:rsidRPr="00003B01">
        <w:rPr>
          <w:sz w:val="28"/>
          <w:szCs w:val="28"/>
          <w:lang w:val="el-GR"/>
        </w:rPr>
        <w:t xml:space="preserve">στην εκδήλωση </w:t>
      </w:r>
      <w:r w:rsidR="00FD6843" w:rsidRPr="00003B01">
        <w:rPr>
          <w:sz w:val="28"/>
          <w:szCs w:val="28"/>
        </w:rPr>
        <w:t>το</w:t>
      </w:r>
      <w:r w:rsidR="0045625F" w:rsidRPr="00003B01">
        <w:rPr>
          <w:sz w:val="28"/>
          <w:szCs w:val="28"/>
          <w:lang w:val="el-GR"/>
        </w:rPr>
        <w:t>υ Ανωτάτου Δικαστηρίου της Κυπριακής Δημοκρατίας</w:t>
      </w:r>
      <w:r w:rsidR="0058434E" w:rsidRPr="00003B01">
        <w:rPr>
          <w:sz w:val="28"/>
          <w:szCs w:val="28"/>
        </w:rPr>
        <w:t xml:space="preserve"> για τα 70χρονα του Δικαστηρ</w:t>
      </w:r>
      <w:r w:rsidR="0058434E" w:rsidRPr="00003B01">
        <w:rPr>
          <w:sz w:val="28"/>
          <w:szCs w:val="28"/>
          <w:lang w:val="el-GR"/>
        </w:rPr>
        <w:t>ίου</w:t>
      </w:r>
      <w:r w:rsidR="00FD6843" w:rsidRPr="00003B01">
        <w:rPr>
          <w:sz w:val="28"/>
          <w:szCs w:val="28"/>
        </w:rPr>
        <w:t xml:space="preserve"> </w:t>
      </w:r>
      <w:r w:rsidR="00F8683C" w:rsidRPr="00003B01">
        <w:rPr>
          <w:sz w:val="28"/>
          <w:szCs w:val="28"/>
          <w:lang w:val="el-GR"/>
        </w:rPr>
        <w:t>της Ευρωπαϊκής Ένωσης</w:t>
      </w:r>
      <w:r w:rsidR="0058434E" w:rsidRPr="00003B01">
        <w:rPr>
          <w:sz w:val="28"/>
          <w:szCs w:val="28"/>
          <w:lang w:val="el-GR"/>
        </w:rPr>
        <w:t>.</w:t>
      </w:r>
      <w:r w:rsidR="00F8683C" w:rsidRPr="00003B01">
        <w:rPr>
          <w:sz w:val="28"/>
          <w:szCs w:val="28"/>
          <w:lang w:val="el-GR"/>
        </w:rPr>
        <w:t xml:space="preserve"> </w:t>
      </w:r>
      <w:r w:rsidR="0058434E" w:rsidRPr="00003B01">
        <w:rPr>
          <w:sz w:val="28"/>
          <w:szCs w:val="28"/>
        </w:rPr>
        <w:t xml:space="preserve">τον </w:t>
      </w:r>
      <w:r w:rsidR="0058434E" w:rsidRPr="00003B01">
        <w:rPr>
          <w:sz w:val="28"/>
          <w:szCs w:val="28"/>
          <w:lang w:val="el-GR"/>
        </w:rPr>
        <w:t>Τ</w:t>
      </w:r>
      <w:r w:rsidR="00FD6843" w:rsidRPr="00003B01">
        <w:rPr>
          <w:sz w:val="28"/>
          <w:szCs w:val="28"/>
        </w:rPr>
        <w:t xml:space="preserve">α </w:t>
      </w:r>
      <w:r w:rsidR="00F8683C" w:rsidRPr="00003B01">
        <w:rPr>
          <w:sz w:val="28"/>
          <w:szCs w:val="28"/>
          <w:lang w:val="el-GR"/>
        </w:rPr>
        <w:t>δύο</w:t>
      </w:r>
      <w:r w:rsidR="0058434E" w:rsidRPr="00003B01">
        <w:rPr>
          <w:sz w:val="28"/>
          <w:szCs w:val="28"/>
        </w:rPr>
        <w:t xml:space="preserve"> δικαστ</w:t>
      </w:r>
      <w:r w:rsidR="0058434E" w:rsidRPr="00003B01">
        <w:rPr>
          <w:sz w:val="28"/>
          <w:szCs w:val="28"/>
          <w:lang w:val="el-GR"/>
        </w:rPr>
        <w:t>ήρια μας</w:t>
      </w:r>
      <w:r w:rsidR="00FD6843" w:rsidRPr="00003B01">
        <w:rPr>
          <w:sz w:val="28"/>
          <w:szCs w:val="28"/>
        </w:rPr>
        <w:t xml:space="preserve"> βρίσκονται στην πρώτη </w:t>
      </w:r>
      <w:r w:rsidR="00F8683C" w:rsidRPr="00003B01">
        <w:rPr>
          <w:sz w:val="28"/>
          <w:szCs w:val="28"/>
          <w:lang w:val="el-GR"/>
        </w:rPr>
        <w:t>γραμμή</w:t>
      </w:r>
      <w:r w:rsidR="00FD6843" w:rsidRPr="00003B01">
        <w:rPr>
          <w:sz w:val="28"/>
          <w:szCs w:val="28"/>
        </w:rPr>
        <w:t xml:space="preserve"> της </w:t>
      </w:r>
      <w:r w:rsidR="00F8683C" w:rsidRPr="00003B01">
        <w:rPr>
          <w:sz w:val="28"/>
          <w:szCs w:val="28"/>
          <w:lang w:val="el-GR"/>
        </w:rPr>
        <w:t>κατοχύρωσης</w:t>
      </w:r>
      <w:r w:rsidR="00FD6843" w:rsidRPr="00003B01">
        <w:rPr>
          <w:sz w:val="28"/>
          <w:szCs w:val="28"/>
        </w:rPr>
        <w:t xml:space="preserve"> και της προστασίας του κράτους</w:t>
      </w:r>
      <w:r w:rsidR="00AC54CB">
        <w:rPr>
          <w:sz w:val="28"/>
          <w:szCs w:val="28"/>
        </w:rPr>
        <w:t xml:space="preserve"> δικαίου σε εθνικό και υπερεθνικό</w:t>
      </w:r>
      <w:r w:rsidR="00FD6843" w:rsidRPr="00003B01">
        <w:rPr>
          <w:sz w:val="28"/>
          <w:szCs w:val="28"/>
        </w:rPr>
        <w:t xml:space="preserve"> επίπεδο. </w:t>
      </w:r>
      <w:r w:rsidR="00EF3F0A" w:rsidRPr="00003B01">
        <w:rPr>
          <w:sz w:val="28"/>
          <w:szCs w:val="28"/>
          <w:lang w:val="el-GR"/>
        </w:rPr>
        <w:t>Μ</w:t>
      </w:r>
      <w:r w:rsidR="00FD6843" w:rsidRPr="00003B01">
        <w:rPr>
          <w:sz w:val="28"/>
          <w:szCs w:val="28"/>
        </w:rPr>
        <w:t xml:space="preserve">ια τέτοια ευθύνη </w:t>
      </w:r>
      <w:r w:rsidR="0058434E" w:rsidRPr="00003B01">
        <w:rPr>
          <w:sz w:val="28"/>
          <w:szCs w:val="28"/>
          <w:lang w:val="el-GR"/>
        </w:rPr>
        <w:t>προϋποθέτει</w:t>
      </w:r>
      <w:r w:rsidR="00FD6843" w:rsidRPr="00003B01">
        <w:rPr>
          <w:sz w:val="28"/>
          <w:szCs w:val="28"/>
        </w:rPr>
        <w:t xml:space="preserve"> την ύπαρξη εποικοδομητικού διαλόγου μεταξύ του Δικαστηρίου</w:t>
      </w:r>
      <w:r w:rsidR="00E6229A" w:rsidRPr="00003B01">
        <w:rPr>
          <w:sz w:val="28"/>
          <w:szCs w:val="28"/>
          <w:lang w:val="el-GR"/>
        </w:rPr>
        <w:t xml:space="preserve"> της Ένωσης</w:t>
      </w:r>
      <w:r w:rsidR="00FD6843" w:rsidRPr="00003B01">
        <w:rPr>
          <w:sz w:val="28"/>
          <w:szCs w:val="28"/>
        </w:rPr>
        <w:t xml:space="preserve"> και των εθνι</w:t>
      </w:r>
      <w:r w:rsidR="00E6229A" w:rsidRPr="00003B01">
        <w:rPr>
          <w:sz w:val="28"/>
          <w:szCs w:val="28"/>
        </w:rPr>
        <w:t>κών δικαστηρίων</w:t>
      </w:r>
      <w:r w:rsidR="00FD6843" w:rsidRPr="00003B01">
        <w:rPr>
          <w:sz w:val="28"/>
          <w:szCs w:val="28"/>
        </w:rPr>
        <w:t xml:space="preserve">, διότι </w:t>
      </w:r>
      <w:r w:rsidR="00D825CD" w:rsidRPr="00003B01">
        <w:rPr>
          <w:sz w:val="28"/>
          <w:szCs w:val="28"/>
          <w:lang w:val="el-GR"/>
        </w:rPr>
        <w:t>μόνο</w:t>
      </w:r>
      <w:r w:rsidR="00672AFF" w:rsidRPr="00003B01">
        <w:rPr>
          <w:sz w:val="28"/>
          <w:szCs w:val="28"/>
          <w:lang w:val="el-GR"/>
        </w:rPr>
        <w:t>ν</w:t>
      </w:r>
      <w:r w:rsidR="00D825CD" w:rsidRPr="00003B01">
        <w:rPr>
          <w:sz w:val="28"/>
          <w:szCs w:val="28"/>
          <w:lang w:val="el-GR"/>
        </w:rPr>
        <w:t xml:space="preserve"> μέσω της δικαστικής συνεργασίας</w:t>
      </w:r>
      <w:r w:rsidR="00AC54CB">
        <w:rPr>
          <w:sz w:val="28"/>
          <w:szCs w:val="28"/>
          <w:lang w:val="el-GR"/>
        </w:rPr>
        <w:t xml:space="preserve"> και διαλόγου</w:t>
      </w:r>
      <w:r w:rsidR="00D825CD" w:rsidRPr="00003B01">
        <w:rPr>
          <w:sz w:val="28"/>
          <w:szCs w:val="28"/>
          <w:lang w:val="el-GR"/>
        </w:rPr>
        <w:t xml:space="preserve"> μπορεί να διασφαλιστεί </w:t>
      </w:r>
      <w:r w:rsidR="00FD6843" w:rsidRPr="00003B01">
        <w:rPr>
          <w:sz w:val="28"/>
          <w:szCs w:val="28"/>
        </w:rPr>
        <w:t xml:space="preserve">η ορθή ερμηνεία και εφαρμογή του δικαίου της Ένωσης. </w:t>
      </w:r>
      <w:r w:rsidR="00D825CD" w:rsidRPr="00003B01">
        <w:rPr>
          <w:sz w:val="28"/>
          <w:szCs w:val="28"/>
          <w:lang w:val="el-GR"/>
        </w:rPr>
        <w:t xml:space="preserve">Το τελευταίο αυτό ζήτημα θα αποτελέσει το επίκεντρο των </w:t>
      </w:r>
      <w:r w:rsidR="00CF79E5" w:rsidRPr="00003B01">
        <w:rPr>
          <w:sz w:val="28"/>
          <w:szCs w:val="28"/>
          <w:lang w:val="el-GR"/>
        </w:rPr>
        <w:t>σκέψεων που θα αναπτύξω σήμερα ενώπιόν σας.</w:t>
      </w:r>
      <w:r w:rsidR="00FD6843" w:rsidRPr="00003B01">
        <w:rPr>
          <w:sz w:val="28"/>
          <w:szCs w:val="28"/>
        </w:rPr>
        <w:t xml:space="preserve"> </w:t>
      </w:r>
    </w:p>
    <w:p w14:paraId="3E0A156D" w14:textId="72E70364" w:rsidR="00B8663A" w:rsidRPr="00003B01" w:rsidRDefault="00FD6843">
      <w:pPr>
        <w:pStyle w:val="P68B1DB1-Normal3"/>
        <w:spacing w:line="276" w:lineRule="auto"/>
        <w:jc w:val="both"/>
        <w:rPr>
          <w:sz w:val="28"/>
          <w:szCs w:val="28"/>
        </w:rPr>
      </w:pPr>
      <w:r w:rsidRPr="00003B01">
        <w:rPr>
          <w:sz w:val="28"/>
          <w:szCs w:val="28"/>
        </w:rPr>
        <w:t xml:space="preserve">Κατά το άρθρο 267 ΣΛΕΕ, η διαδικασία προδικαστικής παραπομπής παρέχει στα εθνικά δικαστήρια τη δυνατότητα να ζητούν από το Δικαστήριο να απαντήσει σε ερωτήματα σχετικά με την ερμηνεία ή το κύρος του δικαίου της Ένωσης στο πλαίσιο διαφοράς της οποίας έχουν επιληφθεί. Τα εθνικά δικαστήρια υποβάλλουν ερωτήματα όταν κρίνουν ότι </w:t>
      </w:r>
      <w:r w:rsidR="00F7464F" w:rsidRPr="00003B01">
        <w:rPr>
          <w:sz w:val="28"/>
          <w:szCs w:val="28"/>
          <w:lang w:val="el-GR"/>
        </w:rPr>
        <w:t xml:space="preserve">η </w:t>
      </w:r>
      <w:r w:rsidRPr="00003B01">
        <w:rPr>
          <w:sz w:val="28"/>
          <w:szCs w:val="28"/>
        </w:rPr>
        <w:t xml:space="preserve">απόφαση του Δικαστηρίου είναι αναγκαία για την έκδοση της δικής τους αποφάσεως. </w:t>
      </w:r>
      <w:r w:rsidR="00F7464F" w:rsidRPr="00003B01">
        <w:rPr>
          <w:sz w:val="28"/>
          <w:szCs w:val="28"/>
          <w:lang w:val="el-GR"/>
        </w:rPr>
        <w:t xml:space="preserve">Υπό την έννοια αυτή μπορεί να λεχθεί ότι </w:t>
      </w:r>
      <w:r w:rsidRPr="00003B01">
        <w:rPr>
          <w:sz w:val="28"/>
          <w:szCs w:val="28"/>
        </w:rPr>
        <w:t xml:space="preserve">η </w:t>
      </w:r>
      <w:r w:rsidR="00BF1CDA" w:rsidRPr="00003B01">
        <w:rPr>
          <w:sz w:val="28"/>
          <w:szCs w:val="28"/>
          <w:lang w:val="el-GR"/>
        </w:rPr>
        <w:t>κίνηση της διαδικασίας</w:t>
      </w:r>
      <w:r w:rsidRPr="00003B01">
        <w:rPr>
          <w:sz w:val="28"/>
          <w:szCs w:val="28"/>
        </w:rPr>
        <w:t xml:space="preserve"> προδικαστικής </w:t>
      </w:r>
      <w:r w:rsidR="00BF1CDA" w:rsidRPr="00003B01">
        <w:rPr>
          <w:sz w:val="28"/>
          <w:szCs w:val="28"/>
          <w:lang w:val="el-GR"/>
        </w:rPr>
        <w:t>παραπομπής</w:t>
      </w:r>
      <w:r w:rsidRPr="00003B01">
        <w:rPr>
          <w:sz w:val="28"/>
          <w:szCs w:val="28"/>
        </w:rPr>
        <w:t xml:space="preserve"> </w:t>
      </w:r>
      <w:r w:rsidR="00BF1CDA" w:rsidRPr="00003B01">
        <w:rPr>
          <w:sz w:val="28"/>
          <w:szCs w:val="28"/>
          <w:lang w:val="el-GR"/>
        </w:rPr>
        <w:t>απόκειται πρωτίστως στην ευχέρεια του εθνικού δικαστή</w:t>
      </w:r>
      <w:r w:rsidRPr="00003B01">
        <w:rPr>
          <w:sz w:val="28"/>
          <w:szCs w:val="28"/>
        </w:rPr>
        <w:t>. Εντούτοις, κατά το άρθρο 267, τρίτο εδάφιο, ΣΛΕΕ, όταν ανακύπτουν ζητήματα στο πλαίσιο υποθέσεως που εκκρεμεί ενώπιον δικαστηρίου τελευταίου βαθμού (όπως το Ανώτατο Δικαστήριο της Κ</w:t>
      </w:r>
      <w:r w:rsidR="00BF1CDA" w:rsidRPr="00003B01">
        <w:rPr>
          <w:sz w:val="28"/>
          <w:szCs w:val="28"/>
          <w:lang w:val="el-GR"/>
        </w:rPr>
        <w:t>υπριακής Δημοκρατίας</w:t>
      </w:r>
      <w:r w:rsidRPr="00003B01">
        <w:rPr>
          <w:sz w:val="28"/>
          <w:szCs w:val="28"/>
        </w:rPr>
        <w:t xml:space="preserve">), </w:t>
      </w:r>
      <w:r w:rsidR="002A5512" w:rsidRPr="00003B01">
        <w:rPr>
          <w:sz w:val="28"/>
          <w:szCs w:val="28"/>
          <w:lang w:val="el-GR"/>
        </w:rPr>
        <w:t xml:space="preserve">τότε </w:t>
      </w:r>
      <w:r w:rsidR="003F701B" w:rsidRPr="00003B01">
        <w:rPr>
          <w:sz w:val="28"/>
          <w:szCs w:val="28"/>
          <w:lang w:val="el-GR"/>
        </w:rPr>
        <w:t>το δικαστήριο αυτό οφείλει να παραπέμψει το ζήτημα προς έκδοση</w:t>
      </w:r>
      <w:r w:rsidRPr="00003B01">
        <w:rPr>
          <w:sz w:val="28"/>
          <w:szCs w:val="28"/>
        </w:rPr>
        <w:t xml:space="preserve"> προδικαστικής </w:t>
      </w:r>
      <w:r w:rsidR="003F701B" w:rsidRPr="00003B01">
        <w:rPr>
          <w:sz w:val="28"/>
          <w:szCs w:val="28"/>
          <w:lang w:val="el-GR"/>
        </w:rPr>
        <w:t>αποφάσεως</w:t>
      </w:r>
      <w:r w:rsidRPr="00003B01">
        <w:rPr>
          <w:sz w:val="28"/>
          <w:szCs w:val="28"/>
        </w:rPr>
        <w:t xml:space="preserve">. </w:t>
      </w:r>
    </w:p>
    <w:p w14:paraId="23E4D529" w14:textId="63409D5F" w:rsidR="00B8663A" w:rsidRPr="00003B01" w:rsidRDefault="00FD6843">
      <w:pPr>
        <w:pStyle w:val="P68B1DB1-Normal3"/>
        <w:spacing w:line="276" w:lineRule="auto"/>
        <w:jc w:val="both"/>
        <w:rPr>
          <w:sz w:val="28"/>
          <w:szCs w:val="28"/>
        </w:rPr>
      </w:pPr>
      <w:r w:rsidRPr="00003B01">
        <w:rPr>
          <w:sz w:val="28"/>
          <w:szCs w:val="28"/>
        </w:rPr>
        <w:lastRenderedPageBreak/>
        <w:t xml:space="preserve">Με τη νομολογία του, το Δικαστήριο </w:t>
      </w:r>
      <w:r w:rsidR="003F701B" w:rsidRPr="00003B01">
        <w:rPr>
          <w:sz w:val="28"/>
          <w:szCs w:val="28"/>
          <w:lang w:val="el-GR"/>
        </w:rPr>
        <w:t>έχει θεσπίσει</w:t>
      </w:r>
      <w:r w:rsidRPr="00003B01">
        <w:rPr>
          <w:sz w:val="28"/>
          <w:szCs w:val="28"/>
        </w:rPr>
        <w:t xml:space="preserve"> δύο εξαιρέσεις από την «υποχρέωση παραπομπής» </w:t>
      </w:r>
      <w:r w:rsidR="00E42C33" w:rsidRPr="00003B01">
        <w:rPr>
          <w:sz w:val="28"/>
          <w:szCs w:val="28"/>
          <w:lang w:val="el-GR"/>
        </w:rPr>
        <w:t>που προβλέπεται</w:t>
      </w:r>
      <w:r w:rsidRPr="00003B01">
        <w:rPr>
          <w:sz w:val="28"/>
          <w:szCs w:val="28"/>
        </w:rPr>
        <w:t xml:space="preserve"> </w:t>
      </w:r>
      <w:r w:rsidR="00E42C33" w:rsidRPr="00003B01">
        <w:rPr>
          <w:sz w:val="28"/>
          <w:szCs w:val="28"/>
          <w:lang w:val="el-GR"/>
        </w:rPr>
        <w:t>σ</w:t>
      </w:r>
      <w:r w:rsidRPr="00003B01">
        <w:rPr>
          <w:sz w:val="28"/>
          <w:szCs w:val="28"/>
        </w:rPr>
        <w:t>το τρίτο εδάφιο</w:t>
      </w:r>
      <w:r w:rsidR="003F701B" w:rsidRPr="00003B01">
        <w:rPr>
          <w:sz w:val="28"/>
          <w:szCs w:val="28"/>
          <w:lang w:val="el-GR"/>
        </w:rPr>
        <w:t xml:space="preserve"> του άρθρου 267 ΣΛΕΕ</w:t>
      </w:r>
      <w:r w:rsidRPr="00003B01">
        <w:rPr>
          <w:sz w:val="28"/>
          <w:szCs w:val="28"/>
        </w:rPr>
        <w:t xml:space="preserve">, </w:t>
      </w:r>
      <w:r w:rsidR="003F701B" w:rsidRPr="00003B01">
        <w:rPr>
          <w:sz w:val="28"/>
          <w:szCs w:val="28"/>
          <w:lang w:val="el-GR"/>
        </w:rPr>
        <w:t xml:space="preserve">τούτο δε </w:t>
      </w:r>
      <w:r w:rsidRPr="00003B01">
        <w:rPr>
          <w:sz w:val="28"/>
          <w:szCs w:val="28"/>
        </w:rPr>
        <w:t>προκειμένου να αποφε</w:t>
      </w:r>
      <w:r w:rsidR="003F701B" w:rsidRPr="00003B01">
        <w:rPr>
          <w:sz w:val="28"/>
          <w:szCs w:val="28"/>
          <w:lang w:val="el-GR"/>
        </w:rPr>
        <w:t>ύγονται</w:t>
      </w:r>
      <w:r w:rsidRPr="00003B01">
        <w:rPr>
          <w:sz w:val="28"/>
          <w:szCs w:val="28"/>
        </w:rPr>
        <w:t xml:space="preserve"> περιττές καθυστερήσεις και να </w:t>
      </w:r>
      <w:r w:rsidR="003F701B" w:rsidRPr="00003B01">
        <w:rPr>
          <w:sz w:val="28"/>
          <w:szCs w:val="28"/>
          <w:lang w:val="el-GR"/>
        </w:rPr>
        <w:t xml:space="preserve">αποτρέπεται </w:t>
      </w:r>
      <w:r w:rsidR="002A1DB6" w:rsidRPr="00003B01">
        <w:rPr>
          <w:sz w:val="28"/>
          <w:szCs w:val="28"/>
          <w:lang w:val="el-GR"/>
        </w:rPr>
        <w:t xml:space="preserve">η συμφόρηση του Δικαστηρίου λόγω της </w:t>
      </w:r>
      <w:r w:rsidR="001523AD" w:rsidRPr="00003B01">
        <w:rPr>
          <w:sz w:val="28"/>
          <w:szCs w:val="28"/>
          <w:lang w:val="el-GR"/>
        </w:rPr>
        <w:t>επαναλαμβανόμενης</w:t>
      </w:r>
      <w:r w:rsidR="00E42C33" w:rsidRPr="00003B01">
        <w:rPr>
          <w:sz w:val="28"/>
          <w:szCs w:val="28"/>
          <w:lang w:val="el-GR"/>
        </w:rPr>
        <w:t xml:space="preserve"> </w:t>
      </w:r>
      <w:r w:rsidR="002A1DB6" w:rsidRPr="00003B01">
        <w:rPr>
          <w:sz w:val="28"/>
          <w:szCs w:val="28"/>
          <w:lang w:val="el-GR"/>
        </w:rPr>
        <w:t xml:space="preserve">υποβολής ερωτημάτων </w:t>
      </w:r>
      <w:r w:rsidRPr="00003B01">
        <w:rPr>
          <w:sz w:val="28"/>
          <w:szCs w:val="28"/>
        </w:rPr>
        <w:t>στα οποία έχε</w:t>
      </w:r>
      <w:r w:rsidR="00756DD0" w:rsidRPr="00003B01">
        <w:rPr>
          <w:sz w:val="28"/>
          <w:szCs w:val="28"/>
        </w:rPr>
        <w:t xml:space="preserve">ι ήδη δοθεί απάντηση. </w:t>
      </w:r>
      <w:r w:rsidR="0007227F" w:rsidRPr="00003B01">
        <w:rPr>
          <w:sz w:val="28"/>
          <w:szCs w:val="28"/>
          <w:lang w:val="el-GR"/>
        </w:rPr>
        <w:t>Συγκεκριμένα, τ</w:t>
      </w:r>
      <w:r w:rsidR="002A1DB6" w:rsidRPr="00003B01">
        <w:rPr>
          <w:sz w:val="28"/>
          <w:szCs w:val="28"/>
          <w:lang w:val="el-GR"/>
        </w:rPr>
        <w:t xml:space="preserve">ο Δικαστήριο έχει διευκρινίσει </w:t>
      </w:r>
      <w:r w:rsidRPr="00003B01">
        <w:rPr>
          <w:sz w:val="28"/>
          <w:szCs w:val="28"/>
        </w:rPr>
        <w:t xml:space="preserve">ότι δεν </w:t>
      </w:r>
      <w:r w:rsidR="002A1DB6" w:rsidRPr="00003B01">
        <w:rPr>
          <w:sz w:val="28"/>
          <w:szCs w:val="28"/>
          <w:lang w:val="el-GR"/>
        </w:rPr>
        <w:t>υφίσταται υποχρέωση προδικαστικής παραπομπής</w:t>
      </w:r>
      <w:r w:rsidRPr="00003B01">
        <w:rPr>
          <w:sz w:val="28"/>
          <w:szCs w:val="28"/>
        </w:rPr>
        <w:t>:</w:t>
      </w:r>
    </w:p>
    <w:p w14:paraId="5EB17617" w14:textId="268E00D7" w:rsidR="002A1DB6" w:rsidRPr="00003B01" w:rsidRDefault="002A1DB6" w:rsidP="002A1DB6">
      <w:pPr>
        <w:pStyle w:val="P68B1DB1-Normal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03B01">
        <w:rPr>
          <w:sz w:val="28"/>
          <w:szCs w:val="28"/>
          <w:lang w:val="el-GR"/>
        </w:rPr>
        <w:t>πρώτον, όταν</w:t>
      </w:r>
      <w:r w:rsidRPr="00003B01">
        <w:rPr>
          <w:sz w:val="28"/>
          <w:szCs w:val="28"/>
        </w:rPr>
        <w:t xml:space="preserve"> </w:t>
      </w:r>
      <w:r w:rsidR="00FD6843" w:rsidRPr="00003B01">
        <w:rPr>
          <w:sz w:val="28"/>
          <w:szCs w:val="28"/>
        </w:rPr>
        <w:t xml:space="preserve">«το </w:t>
      </w:r>
      <w:r w:rsidR="001523AD" w:rsidRPr="00003B01">
        <w:rPr>
          <w:sz w:val="28"/>
          <w:szCs w:val="28"/>
          <w:lang w:val="el-GR"/>
        </w:rPr>
        <w:t>ανακύψαν ζήτημα</w:t>
      </w:r>
      <w:r w:rsidR="00FD6843" w:rsidRPr="00003B01">
        <w:rPr>
          <w:sz w:val="28"/>
          <w:szCs w:val="28"/>
        </w:rPr>
        <w:t xml:space="preserve"> είναι ουσιαστικά ταυτόσημο με </w:t>
      </w:r>
      <w:r w:rsidR="001523AD" w:rsidRPr="00003B01">
        <w:rPr>
          <w:sz w:val="28"/>
          <w:szCs w:val="28"/>
          <w:lang w:val="el-GR"/>
        </w:rPr>
        <w:t>ζήτημα</w:t>
      </w:r>
      <w:r w:rsidR="00FD6843" w:rsidRPr="00003B01">
        <w:rPr>
          <w:sz w:val="28"/>
          <w:szCs w:val="28"/>
        </w:rPr>
        <w:t xml:space="preserve"> που έχει ήδη αποτελέσει αντικείμενο προδικαστικής αποφάσεως σε </w:t>
      </w:r>
      <w:r w:rsidR="001523AD" w:rsidRPr="00003B01">
        <w:rPr>
          <w:sz w:val="28"/>
          <w:szCs w:val="28"/>
          <w:lang w:val="el-GR"/>
        </w:rPr>
        <w:t>ανάλογη περίπτωση</w:t>
      </w:r>
      <w:r w:rsidR="00FD6843" w:rsidRPr="00003B01">
        <w:rPr>
          <w:sz w:val="28"/>
          <w:szCs w:val="28"/>
        </w:rPr>
        <w:t xml:space="preserve">» και στο οποίο το Δικαστήριο έχει ήδη δώσει απάντηση — </w:t>
      </w:r>
      <w:r w:rsidRPr="00003B01">
        <w:rPr>
          <w:sz w:val="28"/>
          <w:szCs w:val="28"/>
          <w:lang w:val="el-GR"/>
        </w:rPr>
        <w:t xml:space="preserve">πρόκειται για τη θεωρία της </w:t>
      </w:r>
      <w:r w:rsidR="00FD6843" w:rsidRPr="00003B01">
        <w:rPr>
          <w:sz w:val="28"/>
          <w:szCs w:val="28"/>
        </w:rPr>
        <w:t>«</w:t>
      </w:r>
      <w:r w:rsidR="00FD6843" w:rsidRPr="00003B01">
        <w:rPr>
          <w:i/>
          <w:sz w:val="28"/>
          <w:szCs w:val="28"/>
        </w:rPr>
        <w:t xml:space="preserve">acte </w:t>
      </w:r>
      <w:r w:rsidRPr="00003B01">
        <w:rPr>
          <w:i/>
          <w:sz w:val="28"/>
          <w:szCs w:val="28"/>
          <w:lang w:val="el-GR"/>
        </w:rPr>
        <w:t>é</w:t>
      </w:r>
      <w:r w:rsidR="00FD6843" w:rsidRPr="00003B01">
        <w:rPr>
          <w:i/>
          <w:sz w:val="28"/>
          <w:szCs w:val="28"/>
        </w:rPr>
        <w:t>clair</w:t>
      </w:r>
      <w:r w:rsidRPr="00003B01">
        <w:rPr>
          <w:i/>
          <w:sz w:val="28"/>
          <w:szCs w:val="28"/>
          <w:lang w:val="el-GR"/>
        </w:rPr>
        <w:t>é</w:t>
      </w:r>
      <w:r w:rsidR="00FD6843" w:rsidRPr="00003B01">
        <w:rPr>
          <w:sz w:val="28"/>
          <w:szCs w:val="28"/>
        </w:rPr>
        <w:t>»</w:t>
      </w:r>
      <w:r w:rsidR="00AC54CB">
        <w:rPr>
          <w:sz w:val="28"/>
          <w:szCs w:val="28"/>
          <w:lang w:val="el-GR"/>
        </w:rPr>
        <w:t xml:space="preserve"> </w:t>
      </w:r>
      <w:r w:rsidR="00AC54CB" w:rsidRPr="00AC54CB">
        <w:rPr>
          <w:sz w:val="28"/>
          <w:szCs w:val="28"/>
          <w:lang w:val="el-GR"/>
        </w:rPr>
        <w:t>(</w:t>
      </w:r>
      <w:r w:rsidR="00AC54CB">
        <w:rPr>
          <w:sz w:val="28"/>
          <w:szCs w:val="28"/>
          <w:lang w:val="el-GR"/>
        </w:rPr>
        <w:t>διευκρινισμένης πράξης</w:t>
      </w:r>
      <w:r w:rsidR="00AC54CB" w:rsidRPr="00AC54CB">
        <w:rPr>
          <w:sz w:val="28"/>
          <w:szCs w:val="28"/>
          <w:lang w:val="el-GR"/>
        </w:rPr>
        <w:t>)</w:t>
      </w:r>
      <w:r w:rsidR="00AC54CB">
        <w:rPr>
          <w:sz w:val="28"/>
          <w:szCs w:val="28"/>
          <w:lang w:val="el-GR"/>
        </w:rPr>
        <w:t xml:space="preserve"> </w:t>
      </w:r>
      <w:r w:rsidR="00FD6843" w:rsidRPr="00003B01">
        <w:rPr>
          <w:sz w:val="28"/>
          <w:szCs w:val="28"/>
        </w:rPr>
        <w:t xml:space="preserve">· </w:t>
      </w:r>
      <w:r w:rsidRPr="00003B01">
        <w:rPr>
          <w:sz w:val="28"/>
          <w:szCs w:val="28"/>
          <w:lang w:val="el-GR"/>
        </w:rPr>
        <w:t>και</w:t>
      </w:r>
    </w:p>
    <w:p w14:paraId="4942F3EC" w14:textId="251D6EA3" w:rsidR="00B8663A" w:rsidRPr="00003B01" w:rsidRDefault="002A1DB6" w:rsidP="002A1DB6">
      <w:pPr>
        <w:pStyle w:val="P68B1DB1-Normal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03B01">
        <w:rPr>
          <w:sz w:val="28"/>
          <w:szCs w:val="28"/>
          <w:lang w:val="el-GR"/>
        </w:rPr>
        <w:t xml:space="preserve">δεύτερον, όταν </w:t>
      </w:r>
      <w:r w:rsidR="00FD6843" w:rsidRPr="00003B01">
        <w:rPr>
          <w:sz w:val="28"/>
          <w:szCs w:val="28"/>
        </w:rPr>
        <w:t xml:space="preserve">«η ορθή εφαρμογή του δικαίου της Ένωσης μπορεί να είναι τόσο προφανής ώστε να μην αφήνει περιθώριο για καμία εύλογη αμφιβολία ως προς τον τρόπο επιλύσεως του </w:t>
      </w:r>
      <w:r w:rsidR="001523AD" w:rsidRPr="00003B01">
        <w:rPr>
          <w:sz w:val="28"/>
          <w:szCs w:val="28"/>
          <w:lang w:val="el-GR"/>
        </w:rPr>
        <w:t>ανακύψαντος ζητήματος</w:t>
      </w:r>
      <w:r w:rsidR="00FD6843" w:rsidRPr="00003B01">
        <w:rPr>
          <w:sz w:val="28"/>
          <w:szCs w:val="28"/>
        </w:rPr>
        <w:t>» —</w:t>
      </w:r>
      <w:r w:rsidRPr="00003B01">
        <w:rPr>
          <w:sz w:val="28"/>
          <w:szCs w:val="28"/>
          <w:lang w:val="el-GR"/>
        </w:rPr>
        <w:t xml:space="preserve"> πρόκειται για τη θεωρία της </w:t>
      </w:r>
      <w:r w:rsidRPr="00003B01">
        <w:rPr>
          <w:sz w:val="28"/>
          <w:szCs w:val="28"/>
        </w:rPr>
        <w:t>«</w:t>
      </w:r>
      <w:r w:rsidRPr="00003B01">
        <w:rPr>
          <w:i/>
          <w:sz w:val="28"/>
          <w:szCs w:val="28"/>
        </w:rPr>
        <w:t>acte clair</w:t>
      </w:r>
      <w:r w:rsidRPr="00003B01">
        <w:rPr>
          <w:sz w:val="28"/>
          <w:szCs w:val="28"/>
        </w:rPr>
        <w:t>»</w:t>
      </w:r>
      <w:r w:rsidRPr="00003B01">
        <w:rPr>
          <w:sz w:val="28"/>
          <w:szCs w:val="28"/>
          <w:lang w:val="el-GR"/>
        </w:rPr>
        <w:t xml:space="preserve"> </w:t>
      </w:r>
      <w:r w:rsidR="00E42C33" w:rsidRPr="00003B01">
        <w:rPr>
          <w:sz w:val="28"/>
          <w:szCs w:val="28"/>
          <w:lang w:val="el-GR"/>
        </w:rPr>
        <w:t>ή «σαφούς πράξεως»</w:t>
      </w:r>
      <w:r w:rsidRPr="00003B01">
        <w:rPr>
          <w:sz w:val="28"/>
          <w:szCs w:val="28"/>
          <w:lang w:val="el-GR"/>
        </w:rPr>
        <w:t>.</w:t>
      </w:r>
    </w:p>
    <w:p w14:paraId="28948A90" w14:textId="1B38CA3B" w:rsidR="00B8663A" w:rsidRPr="00003B01" w:rsidRDefault="002529A5">
      <w:pPr>
        <w:pStyle w:val="P68B1DB1-Normal4"/>
        <w:spacing w:line="276" w:lineRule="auto"/>
        <w:jc w:val="both"/>
        <w:rPr>
          <w:sz w:val="28"/>
          <w:szCs w:val="28"/>
        </w:rPr>
      </w:pPr>
      <w:r w:rsidRPr="00003B01">
        <w:rPr>
          <w:sz w:val="28"/>
          <w:szCs w:val="28"/>
          <w:lang w:val="el-GR"/>
        </w:rPr>
        <w:t xml:space="preserve">Κατά κοινή ομολογία, η θεωρία της </w:t>
      </w:r>
      <w:r w:rsidRPr="00003B01">
        <w:rPr>
          <w:i/>
          <w:sz w:val="28"/>
          <w:szCs w:val="28"/>
          <w:lang w:val="el-GR"/>
        </w:rPr>
        <w:t>«acte éclairé»</w:t>
      </w:r>
      <w:r w:rsidRPr="00003B01">
        <w:rPr>
          <w:sz w:val="28"/>
          <w:szCs w:val="28"/>
          <w:lang w:val="el-GR"/>
        </w:rPr>
        <w:t xml:space="preserve"> δεν έχει δημιουργήσει</w:t>
      </w:r>
      <w:r w:rsidR="00FD6843" w:rsidRPr="00003B01">
        <w:rPr>
          <w:sz w:val="28"/>
          <w:szCs w:val="28"/>
        </w:rPr>
        <w:t xml:space="preserve">, στη νομολογία, κανένα </w:t>
      </w:r>
      <w:r w:rsidRPr="00003B01">
        <w:rPr>
          <w:sz w:val="28"/>
          <w:szCs w:val="28"/>
          <w:lang w:val="el-GR"/>
        </w:rPr>
        <w:t>ουσιαστικό</w:t>
      </w:r>
      <w:r w:rsidR="00FD6843" w:rsidRPr="00003B01">
        <w:rPr>
          <w:sz w:val="28"/>
          <w:szCs w:val="28"/>
        </w:rPr>
        <w:t xml:space="preserve"> πρόβλημα ερμηνείας ή εφαρμογής. Αντιθέτως, η εξαίρεση </w:t>
      </w:r>
      <w:r w:rsidRPr="00003B01">
        <w:rPr>
          <w:sz w:val="28"/>
          <w:szCs w:val="28"/>
        </w:rPr>
        <w:t>της</w:t>
      </w:r>
      <w:r w:rsidRPr="00003B01">
        <w:rPr>
          <w:sz w:val="28"/>
          <w:szCs w:val="28"/>
          <w:lang w:val="el-GR"/>
        </w:rPr>
        <w:t xml:space="preserve"> </w:t>
      </w:r>
      <w:r w:rsidRPr="00003B01">
        <w:rPr>
          <w:i/>
          <w:sz w:val="28"/>
          <w:szCs w:val="28"/>
          <w:lang w:val="el-GR"/>
        </w:rPr>
        <w:t>«acte clair»</w:t>
      </w:r>
      <w:r w:rsidRPr="00003B01">
        <w:rPr>
          <w:sz w:val="28"/>
          <w:szCs w:val="28"/>
          <w:lang w:val="el-GR"/>
        </w:rPr>
        <w:t xml:space="preserve"> έχει </w:t>
      </w:r>
      <w:r w:rsidR="00FC3042" w:rsidRPr="00003B01">
        <w:rPr>
          <w:sz w:val="28"/>
          <w:szCs w:val="28"/>
          <w:lang w:val="el-GR"/>
        </w:rPr>
        <w:t xml:space="preserve">δώσει αφορμή </w:t>
      </w:r>
      <w:r w:rsidR="00FD6843" w:rsidRPr="00003B01">
        <w:rPr>
          <w:sz w:val="28"/>
          <w:szCs w:val="28"/>
        </w:rPr>
        <w:t xml:space="preserve">σε μακρές και </w:t>
      </w:r>
      <w:r w:rsidRPr="00003B01">
        <w:rPr>
          <w:sz w:val="28"/>
          <w:szCs w:val="28"/>
          <w:lang w:val="el-GR"/>
        </w:rPr>
        <w:t>ζωηρές</w:t>
      </w:r>
      <w:r w:rsidR="00FD6843" w:rsidRPr="00003B01">
        <w:rPr>
          <w:sz w:val="28"/>
          <w:szCs w:val="28"/>
        </w:rPr>
        <w:t xml:space="preserve"> συζητήσεις τόσο </w:t>
      </w:r>
      <w:r w:rsidR="001523AD" w:rsidRPr="00003B01">
        <w:rPr>
          <w:sz w:val="28"/>
          <w:szCs w:val="28"/>
          <w:lang w:val="el-GR"/>
        </w:rPr>
        <w:t xml:space="preserve">στους κόλπους των ενωσιακών </w:t>
      </w:r>
      <w:r w:rsidR="00FD6843" w:rsidRPr="00003B01">
        <w:rPr>
          <w:sz w:val="28"/>
          <w:szCs w:val="28"/>
        </w:rPr>
        <w:t>και των εθνικών δικαστηρίων</w:t>
      </w:r>
      <w:r w:rsidR="001523AD" w:rsidRPr="00003B01">
        <w:rPr>
          <w:sz w:val="28"/>
          <w:szCs w:val="28"/>
          <w:lang w:val="el-GR"/>
        </w:rPr>
        <w:t xml:space="preserve"> όσο και εκτός αυτών</w:t>
      </w:r>
      <w:r w:rsidR="00FD6843" w:rsidRPr="00003B01">
        <w:rPr>
          <w:sz w:val="28"/>
          <w:szCs w:val="28"/>
        </w:rPr>
        <w:t xml:space="preserve">. Στη διάσημη απόφασή του </w:t>
      </w:r>
      <w:r w:rsidR="00FD6843" w:rsidRPr="00003B01">
        <w:rPr>
          <w:i/>
          <w:sz w:val="28"/>
          <w:szCs w:val="28"/>
        </w:rPr>
        <w:t>CILFIT</w:t>
      </w:r>
      <w:r w:rsidR="00FD6843" w:rsidRPr="00003B01">
        <w:rPr>
          <w:sz w:val="28"/>
          <w:szCs w:val="28"/>
        </w:rPr>
        <w:t xml:space="preserve">, το Δικαστήριο έκρινε ότι η έλλειψη εύλογης αμφιβολίας πρέπει να εκτιμάται υπό το πρίσμα των </w:t>
      </w:r>
      <w:r w:rsidR="00030C91" w:rsidRPr="00003B01">
        <w:rPr>
          <w:sz w:val="28"/>
          <w:szCs w:val="28"/>
          <w:lang w:val="el-GR"/>
        </w:rPr>
        <w:t>ειδικών</w:t>
      </w:r>
      <w:r w:rsidR="00FD6843" w:rsidRPr="00003B01">
        <w:rPr>
          <w:sz w:val="28"/>
          <w:szCs w:val="28"/>
        </w:rPr>
        <w:t xml:space="preserve"> χαρακτηριστικών του δικαίου της Ένωσης και των ιδιαίτερων δυσχερειών που παρουσιάζει η ερμηνεία του. Επομένως, πριν καταλήξει στο συμπέρασμα ότι η ορθή εφαρμογή του δικαίου της Ένωσης είναι τόσο προφανής ώστε να μην αφήνει περιθώριο για καμία εύλογη αμφιβολία, «το εθνικό δικαστήριο πρέπει να </w:t>
      </w:r>
      <w:r w:rsidR="0012376E" w:rsidRPr="00003B01">
        <w:rPr>
          <w:sz w:val="28"/>
          <w:szCs w:val="28"/>
          <w:lang w:val="el-GR"/>
        </w:rPr>
        <w:t>έχει σχηματίσει την πεποίθηση</w:t>
      </w:r>
      <w:r w:rsidR="00FD6843" w:rsidRPr="00003B01">
        <w:rPr>
          <w:sz w:val="28"/>
          <w:szCs w:val="28"/>
        </w:rPr>
        <w:t xml:space="preserve"> ότι </w:t>
      </w:r>
      <w:r w:rsidR="0012376E" w:rsidRPr="00003B01">
        <w:rPr>
          <w:sz w:val="28"/>
          <w:szCs w:val="28"/>
          <w:lang w:val="el-GR"/>
        </w:rPr>
        <w:t xml:space="preserve">η επίλυση του ζητήματος θα ήταν το ίδιο </w:t>
      </w:r>
      <w:r w:rsidR="00FD6843" w:rsidRPr="00003B01">
        <w:rPr>
          <w:sz w:val="28"/>
          <w:szCs w:val="28"/>
        </w:rPr>
        <w:t>προφαν</w:t>
      </w:r>
      <w:r w:rsidR="0012376E" w:rsidRPr="00003B01">
        <w:rPr>
          <w:sz w:val="28"/>
          <w:szCs w:val="28"/>
          <w:lang w:val="el-GR"/>
        </w:rPr>
        <w:t>ή</w:t>
      </w:r>
      <w:r w:rsidR="00FD6843" w:rsidRPr="00003B01">
        <w:rPr>
          <w:sz w:val="28"/>
          <w:szCs w:val="28"/>
        </w:rPr>
        <w:t xml:space="preserve">ς τόσο για τα δικαστήρια των άλλων κρατών μελών όσο και για το Δικαστήριο» (συγκρίνοντας, μεταξύ άλλων, τη διαφορετική γλωσσική απόδοση των επίμαχων διατάξεων της Ένωσης). </w:t>
      </w:r>
    </w:p>
    <w:p w14:paraId="6705881B" w14:textId="2830D8A4" w:rsidR="00B8663A" w:rsidRPr="00003B01" w:rsidRDefault="00030C91">
      <w:pPr>
        <w:pStyle w:val="P68B1DB1-Normal3"/>
        <w:spacing w:line="276" w:lineRule="auto"/>
        <w:jc w:val="both"/>
        <w:rPr>
          <w:sz w:val="28"/>
          <w:szCs w:val="28"/>
        </w:rPr>
      </w:pPr>
      <w:r w:rsidRPr="00003B01">
        <w:rPr>
          <w:sz w:val="28"/>
          <w:szCs w:val="28"/>
          <w:lang w:val="el-GR"/>
        </w:rPr>
        <w:t>Αρκετοί</w:t>
      </w:r>
      <w:r w:rsidR="00FD6843" w:rsidRPr="00003B01">
        <w:rPr>
          <w:sz w:val="28"/>
          <w:szCs w:val="28"/>
        </w:rPr>
        <w:t xml:space="preserve"> γενικοί εισαγγελείς </w:t>
      </w:r>
      <w:r w:rsidRPr="00003B01">
        <w:rPr>
          <w:sz w:val="28"/>
          <w:szCs w:val="28"/>
          <w:lang w:val="el-GR"/>
        </w:rPr>
        <w:t>έχουν κατά καιρούς προτείνει</w:t>
      </w:r>
      <w:r w:rsidR="00FD6843" w:rsidRPr="00003B01">
        <w:rPr>
          <w:sz w:val="28"/>
          <w:szCs w:val="28"/>
        </w:rPr>
        <w:t xml:space="preserve"> με τις προτάσεις τους να ερμηνευθούν οι προϋποθέσεις που έθεσε η προ</w:t>
      </w:r>
      <w:r w:rsidRPr="00003B01">
        <w:rPr>
          <w:sz w:val="28"/>
          <w:szCs w:val="28"/>
          <w:lang w:val="el-GR"/>
        </w:rPr>
        <w:t>αναφερ</w:t>
      </w:r>
      <w:r w:rsidR="00FD6843" w:rsidRPr="00003B01">
        <w:rPr>
          <w:sz w:val="28"/>
          <w:szCs w:val="28"/>
        </w:rPr>
        <w:t>θείσα απόφαση</w:t>
      </w:r>
      <w:r w:rsidR="00FD6843" w:rsidRPr="00003B01">
        <w:rPr>
          <w:i/>
          <w:sz w:val="28"/>
          <w:szCs w:val="28"/>
        </w:rPr>
        <w:t xml:space="preserve"> CILFIT</w:t>
      </w:r>
      <w:r w:rsidR="00FD6843" w:rsidRPr="00003B01">
        <w:rPr>
          <w:sz w:val="28"/>
          <w:szCs w:val="28"/>
        </w:rPr>
        <w:t xml:space="preserve"> υπό την έννοια ότι παρέχουν στα εθνικά δικαστήρια σημαντικό περιθώριο εκτιμήσεως στον τομέα της </w:t>
      </w:r>
      <w:r w:rsidR="00FD6843" w:rsidRPr="00003B01">
        <w:rPr>
          <w:i/>
          <w:sz w:val="28"/>
          <w:szCs w:val="28"/>
        </w:rPr>
        <w:t>σαφούς πράξεως</w:t>
      </w:r>
      <w:r w:rsidR="00FD6843" w:rsidRPr="00003B01">
        <w:rPr>
          <w:sz w:val="28"/>
          <w:szCs w:val="28"/>
        </w:rPr>
        <w:t xml:space="preserve">. Οι γενικοί εισαγγελείς </w:t>
      </w:r>
      <w:r w:rsidR="00A81DEA" w:rsidRPr="00003B01">
        <w:rPr>
          <w:sz w:val="28"/>
          <w:szCs w:val="28"/>
          <w:lang w:val="el-GR"/>
        </w:rPr>
        <w:t xml:space="preserve">έχουν επίσης δώσει μικρότερη έμφαση </w:t>
      </w:r>
      <w:r w:rsidR="00FD6843" w:rsidRPr="00003B01">
        <w:rPr>
          <w:sz w:val="28"/>
          <w:szCs w:val="28"/>
        </w:rPr>
        <w:t xml:space="preserve">στην </w:t>
      </w:r>
      <w:r w:rsidRPr="00003B01">
        <w:rPr>
          <w:sz w:val="28"/>
          <w:szCs w:val="28"/>
          <w:lang w:val="el-GR"/>
        </w:rPr>
        <w:t>υποχρέωση</w:t>
      </w:r>
      <w:r w:rsidR="00FD6843" w:rsidRPr="00003B01">
        <w:rPr>
          <w:sz w:val="28"/>
          <w:szCs w:val="28"/>
        </w:rPr>
        <w:t xml:space="preserve"> των εθνικών </w:t>
      </w:r>
      <w:r w:rsidR="00FD6843" w:rsidRPr="00003B01">
        <w:rPr>
          <w:sz w:val="28"/>
          <w:szCs w:val="28"/>
        </w:rPr>
        <w:lastRenderedPageBreak/>
        <w:t xml:space="preserve">δικαστηρίων να </w:t>
      </w:r>
      <w:r w:rsidRPr="00003B01">
        <w:rPr>
          <w:sz w:val="28"/>
          <w:szCs w:val="28"/>
          <w:lang w:val="el-GR"/>
        </w:rPr>
        <w:t>λαμβάνουν υπόψη</w:t>
      </w:r>
      <w:r w:rsidR="00FD6843" w:rsidRPr="00003B01">
        <w:rPr>
          <w:sz w:val="28"/>
          <w:szCs w:val="28"/>
        </w:rPr>
        <w:t xml:space="preserve"> τον πολυγλωσσικό χαρακτήρα του δικαίου της Ένωσης ή να αναλύουν τις αποδόσεις στις διάφορες </w:t>
      </w:r>
      <w:r w:rsidRPr="00003B01">
        <w:rPr>
          <w:sz w:val="28"/>
          <w:szCs w:val="28"/>
          <w:lang w:val="el-GR"/>
        </w:rPr>
        <w:t xml:space="preserve">επίσημες </w:t>
      </w:r>
      <w:r w:rsidR="00FD6843" w:rsidRPr="00003B01">
        <w:rPr>
          <w:sz w:val="28"/>
          <w:szCs w:val="28"/>
        </w:rPr>
        <w:t xml:space="preserve">γλώσσες. Σε ορισμένες </w:t>
      </w:r>
      <w:r w:rsidRPr="00003B01">
        <w:rPr>
          <w:sz w:val="28"/>
          <w:szCs w:val="28"/>
          <w:lang w:val="el-GR"/>
        </w:rPr>
        <w:t>υποθέσεις</w:t>
      </w:r>
      <w:r w:rsidR="00FD6843" w:rsidRPr="00003B01">
        <w:rPr>
          <w:sz w:val="28"/>
          <w:szCs w:val="28"/>
        </w:rPr>
        <w:t xml:space="preserve">, </w:t>
      </w:r>
      <w:r w:rsidR="00A3597A" w:rsidRPr="00003B01">
        <w:rPr>
          <w:sz w:val="28"/>
          <w:szCs w:val="28"/>
          <w:lang w:val="el-GR"/>
        </w:rPr>
        <w:t xml:space="preserve">υπό την επιρροή </w:t>
      </w:r>
      <w:r w:rsidR="00A3597A" w:rsidRPr="00003B01">
        <w:rPr>
          <w:sz w:val="28"/>
          <w:szCs w:val="28"/>
        </w:rPr>
        <w:t xml:space="preserve">ενδεχομένως </w:t>
      </w:r>
      <w:r w:rsidR="00A3597A" w:rsidRPr="00003B01">
        <w:rPr>
          <w:sz w:val="28"/>
          <w:szCs w:val="28"/>
          <w:lang w:val="el-GR"/>
        </w:rPr>
        <w:t>των λύσεων που πρότειναν οι γενικοί εισαγγελείς</w:t>
      </w:r>
      <w:r w:rsidR="00A3597A" w:rsidRPr="00003B01">
        <w:rPr>
          <w:sz w:val="28"/>
          <w:szCs w:val="28"/>
        </w:rPr>
        <w:t>,</w:t>
      </w:r>
      <w:r w:rsidR="00A3597A" w:rsidRPr="00003B01">
        <w:rPr>
          <w:sz w:val="28"/>
          <w:szCs w:val="28"/>
          <w:lang w:val="el-GR"/>
        </w:rPr>
        <w:t xml:space="preserve"> </w:t>
      </w:r>
      <w:r w:rsidR="00FD6843" w:rsidRPr="00003B01">
        <w:rPr>
          <w:sz w:val="28"/>
          <w:szCs w:val="28"/>
        </w:rPr>
        <w:t xml:space="preserve">το Δικαστήριο φαίνεται </w:t>
      </w:r>
      <w:r w:rsidRPr="00003B01">
        <w:rPr>
          <w:sz w:val="28"/>
          <w:szCs w:val="28"/>
          <w:lang w:val="el-GR"/>
        </w:rPr>
        <w:t xml:space="preserve">όντως </w:t>
      </w:r>
      <w:r w:rsidR="00FD6843" w:rsidRPr="00003B01">
        <w:rPr>
          <w:sz w:val="28"/>
          <w:szCs w:val="28"/>
        </w:rPr>
        <w:t xml:space="preserve">να ακολούθησε μια </w:t>
      </w:r>
      <w:r w:rsidRPr="00003B01">
        <w:rPr>
          <w:sz w:val="28"/>
          <w:szCs w:val="28"/>
          <w:lang w:val="el-GR"/>
        </w:rPr>
        <w:t xml:space="preserve">κατά τι ηπιότερη </w:t>
      </w:r>
      <w:r w:rsidR="00FD6843" w:rsidRPr="00003B01">
        <w:rPr>
          <w:sz w:val="28"/>
          <w:szCs w:val="28"/>
        </w:rPr>
        <w:t xml:space="preserve">προσέγγιση, τηρώντας </w:t>
      </w:r>
      <w:r w:rsidR="00386107" w:rsidRPr="00003B01">
        <w:rPr>
          <w:sz w:val="28"/>
          <w:szCs w:val="28"/>
          <w:lang w:val="el-GR"/>
        </w:rPr>
        <w:t>όμως</w:t>
      </w:r>
      <w:r w:rsidR="00FD6843" w:rsidRPr="00003B01">
        <w:rPr>
          <w:sz w:val="28"/>
          <w:szCs w:val="28"/>
        </w:rPr>
        <w:t xml:space="preserve"> </w:t>
      </w:r>
      <w:r w:rsidR="00386107" w:rsidRPr="00003B01">
        <w:rPr>
          <w:sz w:val="28"/>
          <w:szCs w:val="28"/>
          <w:lang w:val="el-GR"/>
        </w:rPr>
        <w:t>τυπικά</w:t>
      </w:r>
      <w:r w:rsidR="00FD6843" w:rsidRPr="00003B01">
        <w:rPr>
          <w:sz w:val="28"/>
          <w:szCs w:val="28"/>
        </w:rPr>
        <w:t xml:space="preserve"> </w:t>
      </w:r>
      <w:r w:rsidR="00A3597A" w:rsidRPr="00003B01">
        <w:rPr>
          <w:sz w:val="28"/>
          <w:szCs w:val="28"/>
          <w:lang w:val="el-GR"/>
        </w:rPr>
        <w:t xml:space="preserve">και επί της αρχής </w:t>
      </w:r>
      <w:r w:rsidR="00FD6843" w:rsidRPr="00003B01">
        <w:rPr>
          <w:sz w:val="28"/>
          <w:szCs w:val="28"/>
        </w:rPr>
        <w:t xml:space="preserve">τις απαιτήσεις της </w:t>
      </w:r>
      <w:r w:rsidR="00A3597A" w:rsidRPr="00003B01">
        <w:rPr>
          <w:sz w:val="28"/>
          <w:szCs w:val="28"/>
          <w:lang w:val="el-GR"/>
        </w:rPr>
        <w:t xml:space="preserve">απόφασης </w:t>
      </w:r>
      <w:r w:rsidR="00FD6843" w:rsidRPr="00003B01">
        <w:rPr>
          <w:i/>
          <w:sz w:val="28"/>
          <w:szCs w:val="28"/>
        </w:rPr>
        <w:t>CILFIT</w:t>
      </w:r>
      <w:r w:rsidR="00FD6843" w:rsidRPr="00003B01">
        <w:rPr>
          <w:sz w:val="28"/>
          <w:szCs w:val="28"/>
        </w:rPr>
        <w:t xml:space="preserve">. </w:t>
      </w:r>
      <w:r w:rsidR="00A3597A" w:rsidRPr="00003B01">
        <w:rPr>
          <w:sz w:val="28"/>
          <w:szCs w:val="28"/>
          <w:lang w:val="el-GR"/>
        </w:rPr>
        <w:t>Παραδείγματος χάριν</w:t>
      </w:r>
      <w:r w:rsidR="00FD6843" w:rsidRPr="00003B01">
        <w:rPr>
          <w:sz w:val="28"/>
          <w:szCs w:val="28"/>
        </w:rPr>
        <w:t>, με την απόφαση</w:t>
      </w:r>
      <w:r w:rsidR="00FD6843" w:rsidRPr="00003B01">
        <w:rPr>
          <w:i/>
          <w:sz w:val="28"/>
          <w:szCs w:val="28"/>
        </w:rPr>
        <w:t xml:space="preserve"> X και van Dijk</w:t>
      </w:r>
      <w:r w:rsidR="00FD6843" w:rsidRPr="00003B01">
        <w:rPr>
          <w:sz w:val="28"/>
          <w:szCs w:val="28"/>
        </w:rPr>
        <w:t xml:space="preserve">, το Δικαστήριο έκρινε ότι </w:t>
      </w:r>
      <w:r w:rsidR="00A81DEA" w:rsidRPr="00003B01">
        <w:rPr>
          <w:sz w:val="28"/>
          <w:szCs w:val="28"/>
          <w:lang w:val="el-GR"/>
        </w:rPr>
        <w:t xml:space="preserve">το γεγονός ότι </w:t>
      </w:r>
      <w:r w:rsidR="00A3597A" w:rsidRPr="00003B01">
        <w:rPr>
          <w:sz w:val="28"/>
          <w:szCs w:val="28"/>
          <w:lang w:val="el-GR"/>
        </w:rPr>
        <w:t>εκκρεμ</w:t>
      </w:r>
      <w:r w:rsidR="00A81DEA" w:rsidRPr="00003B01">
        <w:rPr>
          <w:sz w:val="28"/>
          <w:szCs w:val="28"/>
          <w:lang w:val="el-GR"/>
        </w:rPr>
        <w:t>εί</w:t>
      </w:r>
      <w:r w:rsidR="00A3597A" w:rsidRPr="00003B01">
        <w:rPr>
          <w:sz w:val="28"/>
          <w:szCs w:val="28"/>
          <w:lang w:val="el-GR"/>
        </w:rPr>
        <w:t xml:space="preserve"> </w:t>
      </w:r>
      <w:r w:rsidR="00FD6843" w:rsidRPr="00003B01">
        <w:rPr>
          <w:sz w:val="28"/>
          <w:szCs w:val="28"/>
        </w:rPr>
        <w:t xml:space="preserve">αίτηση προδικαστικής αποφάσεως </w:t>
      </w:r>
      <w:r w:rsidR="00A3597A" w:rsidRPr="00003B01">
        <w:rPr>
          <w:sz w:val="28"/>
          <w:szCs w:val="28"/>
          <w:lang w:val="el-GR"/>
        </w:rPr>
        <w:t>την οποία έχει υποβάλει</w:t>
      </w:r>
      <w:r w:rsidR="00FD6843" w:rsidRPr="00003B01">
        <w:rPr>
          <w:sz w:val="28"/>
          <w:szCs w:val="28"/>
        </w:rPr>
        <w:t xml:space="preserve"> κατώτερο εθνικό δικαστήριο, σε υπόθεση που αφορά το ίδιο νομικό ζήτημα, δεν εμποδίζει το δικαστήριο του τελευταίου βαθμού να θεωρήσει ότι </w:t>
      </w:r>
      <w:r w:rsidR="00386107" w:rsidRPr="00003B01">
        <w:rPr>
          <w:sz w:val="28"/>
          <w:szCs w:val="28"/>
          <w:lang w:val="el-GR"/>
        </w:rPr>
        <w:t>υφίσταται</w:t>
      </w:r>
      <w:r w:rsidR="00FD6843" w:rsidRPr="00003B01">
        <w:rPr>
          <w:sz w:val="28"/>
          <w:szCs w:val="28"/>
        </w:rPr>
        <w:t xml:space="preserve"> σαφής πράξη. </w:t>
      </w:r>
    </w:p>
    <w:p w14:paraId="7B352355" w14:textId="04FAACDB" w:rsidR="00B8663A" w:rsidRPr="00003B01" w:rsidRDefault="00FD6843">
      <w:pPr>
        <w:pStyle w:val="P68B1DB1-Normal3"/>
        <w:spacing w:line="276" w:lineRule="auto"/>
        <w:jc w:val="both"/>
        <w:rPr>
          <w:sz w:val="28"/>
          <w:szCs w:val="28"/>
        </w:rPr>
      </w:pPr>
      <w:r w:rsidRPr="00003B01">
        <w:rPr>
          <w:sz w:val="28"/>
          <w:szCs w:val="28"/>
        </w:rPr>
        <w:t xml:space="preserve">Υπό τις συνθήκες αυτές, το δικαστήριο </w:t>
      </w:r>
      <w:r w:rsidR="00386107" w:rsidRPr="00003B01">
        <w:rPr>
          <w:sz w:val="28"/>
          <w:szCs w:val="28"/>
        </w:rPr>
        <w:t>τελευταίο</w:t>
      </w:r>
      <w:r w:rsidR="00386107" w:rsidRPr="00003B01">
        <w:rPr>
          <w:sz w:val="28"/>
          <w:szCs w:val="28"/>
          <w:lang w:val="el-GR"/>
        </w:rPr>
        <w:t>υ βαθμού</w:t>
      </w:r>
      <w:r w:rsidR="00386107" w:rsidRPr="00003B01">
        <w:rPr>
          <w:sz w:val="28"/>
          <w:szCs w:val="28"/>
        </w:rPr>
        <w:t xml:space="preserve"> </w:t>
      </w:r>
      <w:r w:rsidRPr="00003B01">
        <w:rPr>
          <w:sz w:val="28"/>
          <w:szCs w:val="28"/>
        </w:rPr>
        <w:t xml:space="preserve">δεν υποχρεούται να αναμείνει την απάντηση του Δικαστηρίου στο προδικαστικό ερώτημα που υπέβαλε το </w:t>
      </w:r>
      <w:r w:rsidR="00386107" w:rsidRPr="00003B01">
        <w:rPr>
          <w:sz w:val="28"/>
          <w:szCs w:val="28"/>
          <w:lang w:val="el-GR"/>
        </w:rPr>
        <w:t>κατώτερο</w:t>
      </w:r>
      <w:r w:rsidRPr="00003B01">
        <w:rPr>
          <w:sz w:val="28"/>
          <w:szCs w:val="28"/>
        </w:rPr>
        <w:t xml:space="preserve"> δικαστήριο και μπορεί κάλλιστα να αποφασίσει «να μην υποβάλει αίτηση προδικαστικής αποφάσεως στο Δικαστήριο και να επιλύσει το ζήτημα που ανέκυψε ενώπιόν του</w:t>
      </w:r>
      <w:r w:rsidR="00056858" w:rsidRPr="00003B01">
        <w:rPr>
          <w:sz w:val="28"/>
          <w:szCs w:val="28"/>
          <w:lang w:val="el-GR"/>
        </w:rPr>
        <w:t xml:space="preserve"> με ιδία ευθύνη</w:t>
      </w:r>
      <w:r w:rsidRPr="00003B01">
        <w:rPr>
          <w:sz w:val="28"/>
          <w:szCs w:val="28"/>
        </w:rPr>
        <w:t xml:space="preserve">». Πάντως, με την απόφαση </w:t>
      </w:r>
      <w:r w:rsidRPr="00003B01">
        <w:rPr>
          <w:i/>
          <w:sz w:val="28"/>
          <w:szCs w:val="28"/>
        </w:rPr>
        <w:t>Ferreira da Silva e Brito</w:t>
      </w:r>
      <w:r w:rsidRPr="00003B01">
        <w:rPr>
          <w:sz w:val="28"/>
          <w:szCs w:val="28"/>
        </w:rPr>
        <w:t xml:space="preserve">, η οποία εκδόθηκε την ίδια ημέρα με </w:t>
      </w:r>
      <w:r w:rsidR="00386107" w:rsidRPr="00003B01">
        <w:rPr>
          <w:sz w:val="28"/>
          <w:szCs w:val="28"/>
          <w:lang w:val="el-GR"/>
        </w:rPr>
        <w:t>την απόφαση</w:t>
      </w:r>
      <w:r w:rsidRPr="00003B01">
        <w:rPr>
          <w:sz w:val="28"/>
          <w:szCs w:val="28"/>
        </w:rPr>
        <w:t xml:space="preserve"> </w:t>
      </w:r>
      <w:r w:rsidRPr="00003B01">
        <w:rPr>
          <w:i/>
          <w:sz w:val="28"/>
          <w:szCs w:val="28"/>
        </w:rPr>
        <w:t>X και van Dijk</w:t>
      </w:r>
      <w:r w:rsidRPr="00003B01">
        <w:rPr>
          <w:sz w:val="28"/>
          <w:szCs w:val="28"/>
        </w:rPr>
        <w:t>, το Δικαστήριο έκρινε</w:t>
      </w:r>
      <w:r w:rsidR="00386107" w:rsidRPr="00003B01">
        <w:rPr>
          <w:sz w:val="28"/>
          <w:szCs w:val="28"/>
        </w:rPr>
        <w:t xml:space="preserve"> </w:t>
      </w:r>
      <w:r w:rsidR="00386107" w:rsidRPr="00003B01">
        <w:rPr>
          <w:sz w:val="28"/>
          <w:szCs w:val="28"/>
          <w:lang w:val="el-GR"/>
        </w:rPr>
        <w:t xml:space="preserve">ότι </w:t>
      </w:r>
      <w:r w:rsidR="00386107" w:rsidRPr="00003B01">
        <w:rPr>
          <w:sz w:val="28"/>
          <w:szCs w:val="28"/>
        </w:rPr>
        <w:t>ένα δικαστήριο τελευταίου βαθμού οφείλει να υποβάλει στο Δικαστήριο αίτηση προδικαστικής αποφάσεως</w:t>
      </w:r>
      <w:r w:rsidR="00386107" w:rsidRPr="00003B01">
        <w:rPr>
          <w:sz w:val="28"/>
          <w:szCs w:val="28"/>
          <w:lang w:val="el-GR"/>
        </w:rPr>
        <w:t xml:space="preserve"> όταν υπάρχουν</w:t>
      </w:r>
      <w:r w:rsidRPr="00003B01">
        <w:rPr>
          <w:sz w:val="28"/>
          <w:szCs w:val="28"/>
        </w:rPr>
        <w:t xml:space="preserve"> </w:t>
      </w:r>
      <w:r w:rsidR="00386107" w:rsidRPr="00003B01">
        <w:rPr>
          <w:sz w:val="28"/>
          <w:szCs w:val="28"/>
          <w:lang w:val="el-GR"/>
        </w:rPr>
        <w:t>αντικρουόμενες αποφάσεις των κατώτερων δικαστηρίων σχετικά με</w:t>
      </w:r>
      <w:r w:rsidRPr="00003B01">
        <w:rPr>
          <w:sz w:val="28"/>
          <w:szCs w:val="28"/>
        </w:rPr>
        <w:t xml:space="preserve"> την ερμηνεία των </w:t>
      </w:r>
      <w:r w:rsidR="00386107" w:rsidRPr="00003B01">
        <w:rPr>
          <w:sz w:val="28"/>
          <w:szCs w:val="28"/>
          <w:lang w:val="el-GR"/>
        </w:rPr>
        <w:t>επίμαχων</w:t>
      </w:r>
      <w:r w:rsidRPr="00003B01">
        <w:rPr>
          <w:sz w:val="28"/>
          <w:szCs w:val="28"/>
        </w:rPr>
        <w:t xml:space="preserve"> διατάξεων του δικαίου της Ένωσης και </w:t>
      </w:r>
      <w:r w:rsidR="00386107" w:rsidRPr="00003B01">
        <w:rPr>
          <w:sz w:val="28"/>
          <w:szCs w:val="28"/>
          <w:lang w:val="el-GR"/>
        </w:rPr>
        <w:t xml:space="preserve">όταν </w:t>
      </w:r>
      <w:r w:rsidRPr="00003B01">
        <w:rPr>
          <w:sz w:val="28"/>
          <w:szCs w:val="28"/>
        </w:rPr>
        <w:t xml:space="preserve">οι </w:t>
      </w:r>
      <w:r w:rsidR="00386107" w:rsidRPr="00003B01">
        <w:rPr>
          <w:sz w:val="28"/>
          <w:szCs w:val="28"/>
          <w:lang w:val="el-GR"/>
        </w:rPr>
        <w:t xml:space="preserve">συγκεκριμένες διατάξεις </w:t>
      </w:r>
      <w:r w:rsidRPr="00003B01">
        <w:rPr>
          <w:sz w:val="28"/>
          <w:szCs w:val="28"/>
        </w:rPr>
        <w:t xml:space="preserve">προκαλούν συχνά </w:t>
      </w:r>
      <w:r w:rsidR="00386107" w:rsidRPr="00003B01">
        <w:rPr>
          <w:sz w:val="28"/>
          <w:szCs w:val="28"/>
          <w:lang w:val="el-GR"/>
        </w:rPr>
        <w:t xml:space="preserve">ερμηνευτικές </w:t>
      </w:r>
      <w:r w:rsidRPr="00003B01">
        <w:rPr>
          <w:sz w:val="28"/>
          <w:szCs w:val="28"/>
        </w:rPr>
        <w:t xml:space="preserve">δυσχέρειες. </w:t>
      </w:r>
    </w:p>
    <w:p w14:paraId="242D8F82" w14:textId="7CE64BC1" w:rsidR="00B8663A" w:rsidRPr="00003B01" w:rsidRDefault="00FD68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B01">
        <w:rPr>
          <w:rFonts w:ascii="Times New Roman" w:hAnsi="Times New Roman" w:cs="Times New Roman"/>
          <w:sz w:val="28"/>
          <w:szCs w:val="28"/>
        </w:rPr>
        <w:t xml:space="preserve">Εξάλλου, </w:t>
      </w:r>
      <w:r w:rsidR="0039552A" w:rsidRPr="00003B01">
        <w:rPr>
          <w:rFonts w:ascii="Times New Roman" w:hAnsi="Times New Roman" w:cs="Times New Roman"/>
          <w:sz w:val="28"/>
          <w:szCs w:val="28"/>
          <w:lang w:val="el-GR"/>
        </w:rPr>
        <w:t>λίγα</w:t>
      </w:r>
      <w:r w:rsidRPr="00003B01">
        <w:rPr>
          <w:rFonts w:ascii="Times New Roman" w:hAnsi="Times New Roman" w:cs="Times New Roman"/>
          <w:sz w:val="28"/>
          <w:szCs w:val="28"/>
        </w:rPr>
        <w:t xml:space="preserve"> </w:t>
      </w:r>
      <w:r w:rsidR="0039552A" w:rsidRPr="00003B01">
        <w:rPr>
          <w:rFonts w:ascii="Times New Roman" w:hAnsi="Times New Roman" w:cs="Times New Roman"/>
          <w:sz w:val="28"/>
          <w:szCs w:val="28"/>
          <w:lang w:val="el-GR"/>
        </w:rPr>
        <w:t>χρόνια</w:t>
      </w:r>
      <w:r w:rsidR="00646EC1" w:rsidRPr="00003B01">
        <w:rPr>
          <w:rFonts w:ascii="Times New Roman" w:hAnsi="Times New Roman" w:cs="Times New Roman"/>
          <w:sz w:val="28"/>
          <w:szCs w:val="28"/>
        </w:rPr>
        <w:t xml:space="preserve"> αργότερα</w:t>
      </w:r>
      <w:r w:rsidRPr="00003B01">
        <w:rPr>
          <w:rFonts w:ascii="Times New Roman" w:hAnsi="Times New Roman" w:cs="Times New Roman"/>
          <w:sz w:val="28"/>
          <w:szCs w:val="28"/>
        </w:rPr>
        <w:t xml:space="preserve"> το Δικαστήριο έκρινε για πρώτη φορά, στο π</w:t>
      </w:r>
      <w:r w:rsidR="00AC54CB">
        <w:rPr>
          <w:rFonts w:ascii="Times New Roman" w:hAnsi="Times New Roman" w:cs="Times New Roman"/>
          <w:sz w:val="28"/>
          <w:szCs w:val="28"/>
        </w:rPr>
        <w:t>λαίσιο προσφυγής επ</w:t>
      </w:r>
      <w:r w:rsidR="00AC54CB">
        <w:rPr>
          <w:rFonts w:ascii="Times New Roman" w:hAnsi="Times New Roman" w:cs="Times New Roman"/>
          <w:sz w:val="28"/>
          <w:szCs w:val="28"/>
          <w:lang w:val="el-GR"/>
        </w:rPr>
        <w:t>ί</w:t>
      </w:r>
      <w:r w:rsidR="00AC54CB">
        <w:rPr>
          <w:rFonts w:ascii="Times New Roman" w:hAnsi="Times New Roman" w:cs="Times New Roman"/>
          <w:sz w:val="28"/>
          <w:szCs w:val="28"/>
        </w:rPr>
        <w:t xml:space="preserve"> παραβάσει</w:t>
      </w:r>
      <w:r w:rsidRPr="00003B01">
        <w:rPr>
          <w:rFonts w:ascii="Times New Roman" w:hAnsi="Times New Roman" w:cs="Times New Roman"/>
          <w:sz w:val="28"/>
          <w:szCs w:val="28"/>
        </w:rPr>
        <w:t xml:space="preserve">, ότι η Γαλλία παρέβη τις υποχρεώσεις που υπέχει από το άρθρο 267 ΣΛΕΕ, </w:t>
      </w:r>
      <w:r w:rsidR="0039552A" w:rsidRPr="00003B01">
        <w:rPr>
          <w:rFonts w:ascii="Times New Roman" w:hAnsi="Times New Roman" w:cs="Times New Roman"/>
          <w:sz w:val="28"/>
          <w:szCs w:val="28"/>
          <w:lang w:val="el-GR"/>
        </w:rPr>
        <w:t>διότι</w:t>
      </w:r>
      <w:r w:rsidRPr="00003B01">
        <w:rPr>
          <w:rFonts w:ascii="Times New Roman" w:hAnsi="Times New Roman" w:cs="Times New Roman"/>
          <w:sz w:val="28"/>
          <w:szCs w:val="28"/>
        </w:rPr>
        <w:t xml:space="preserve"> το Conseil d’État (Συμβούλιο της Επικρατείας) </w:t>
      </w:r>
      <w:r w:rsidR="00646EC1" w:rsidRPr="00003B01">
        <w:rPr>
          <w:rFonts w:ascii="Times New Roman" w:hAnsi="Times New Roman" w:cs="Times New Roman"/>
          <w:sz w:val="28"/>
          <w:szCs w:val="28"/>
          <w:lang w:val="el-GR"/>
        </w:rPr>
        <w:t>είχε παραβεί</w:t>
      </w:r>
      <w:r w:rsidRPr="00003B01">
        <w:rPr>
          <w:rFonts w:ascii="Times New Roman" w:hAnsi="Times New Roman" w:cs="Times New Roman"/>
          <w:sz w:val="28"/>
          <w:szCs w:val="28"/>
        </w:rPr>
        <w:t xml:space="preserve"> τη</w:t>
      </w:r>
      <w:bookmarkStart w:id="0" w:name="_GoBack"/>
      <w:bookmarkEnd w:id="0"/>
      <w:r w:rsidR="0039552A" w:rsidRPr="00003B01">
        <w:rPr>
          <w:rFonts w:ascii="Times New Roman" w:hAnsi="Times New Roman" w:cs="Times New Roman"/>
          <w:sz w:val="28"/>
          <w:szCs w:val="28"/>
          <w:lang w:val="el-GR"/>
        </w:rPr>
        <w:t xml:space="preserve"> δική του</w:t>
      </w:r>
      <w:r w:rsidRPr="00003B01">
        <w:rPr>
          <w:rFonts w:ascii="Times New Roman" w:hAnsi="Times New Roman" w:cs="Times New Roman"/>
          <w:sz w:val="28"/>
          <w:szCs w:val="28"/>
        </w:rPr>
        <w:t xml:space="preserve"> υποχρέωσ</w:t>
      </w:r>
      <w:r w:rsidR="0039552A" w:rsidRPr="00003B01">
        <w:rPr>
          <w:rFonts w:ascii="Times New Roman" w:hAnsi="Times New Roman" w:cs="Times New Roman"/>
          <w:sz w:val="28"/>
          <w:szCs w:val="28"/>
          <w:lang w:val="el-GR"/>
        </w:rPr>
        <w:t>η</w:t>
      </w:r>
      <w:r w:rsidRPr="00003B01">
        <w:rPr>
          <w:rFonts w:ascii="Times New Roman" w:hAnsi="Times New Roman" w:cs="Times New Roman"/>
          <w:sz w:val="28"/>
          <w:szCs w:val="28"/>
        </w:rPr>
        <w:t xml:space="preserve"> προδικαστικής παραπομπής. Το Δικαστήριο διαπίστωσε ότι το Conseil d’État</w:t>
      </w:r>
      <w:r w:rsidRPr="00003B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3B01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«δεν </w:t>
      </w:r>
      <w:r w:rsidR="00646EC1" w:rsidRPr="00003B01">
        <w:rPr>
          <w:rStyle w:val="Emphasis"/>
          <w:rFonts w:ascii="Times New Roman" w:hAnsi="Times New Roman" w:cs="Times New Roman"/>
          <w:i w:val="0"/>
          <w:sz w:val="28"/>
          <w:szCs w:val="28"/>
          <w:lang w:val="el-GR"/>
        </w:rPr>
        <w:t>μπορούσε να είναι</w:t>
      </w:r>
      <w:r w:rsidRPr="00003B01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βέβαιο ότι η συλλογιστική του </w:t>
      </w:r>
      <w:r w:rsidR="00646EC1" w:rsidRPr="00003B01">
        <w:rPr>
          <w:rStyle w:val="Emphasis"/>
          <w:rFonts w:ascii="Times New Roman" w:hAnsi="Times New Roman" w:cs="Times New Roman"/>
          <w:i w:val="0"/>
          <w:sz w:val="28"/>
          <w:szCs w:val="28"/>
          <w:lang w:val="el-GR"/>
        </w:rPr>
        <w:t>θα ήταν το ίδιο</w:t>
      </w:r>
      <w:r w:rsidRPr="00003B01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προφανής</w:t>
      </w:r>
      <w:r w:rsidR="00646EC1" w:rsidRPr="00003B01">
        <w:rPr>
          <w:rStyle w:val="Emphasis"/>
          <w:rFonts w:ascii="Times New Roman" w:hAnsi="Times New Roman" w:cs="Times New Roman"/>
          <w:i w:val="0"/>
          <w:sz w:val="28"/>
          <w:szCs w:val="28"/>
          <w:lang w:val="el-GR"/>
        </w:rPr>
        <w:t xml:space="preserve"> για το Δικαστήριο</w:t>
      </w:r>
      <w:r w:rsidRPr="00003B01">
        <w:rPr>
          <w:rStyle w:val="Emphasis"/>
          <w:rFonts w:ascii="Times New Roman" w:hAnsi="Times New Roman" w:cs="Times New Roman"/>
          <w:i w:val="0"/>
          <w:sz w:val="28"/>
          <w:szCs w:val="28"/>
        </w:rPr>
        <w:t>»</w:t>
      </w:r>
      <w:r w:rsidRPr="00003B0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03B01">
        <w:rPr>
          <w:rFonts w:ascii="Times New Roman" w:hAnsi="Times New Roman" w:cs="Times New Roman"/>
          <w:sz w:val="28"/>
          <w:szCs w:val="28"/>
        </w:rPr>
        <w:t>Το γεγονός ότι η ερμηνεία την οποία προέκρινε το</w:t>
      </w:r>
      <w:r w:rsidRPr="00003B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3B01">
        <w:rPr>
          <w:rFonts w:ascii="Times New Roman" w:hAnsi="Times New Roman" w:cs="Times New Roman"/>
          <w:sz w:val="28"/>
          <w:szCs w:val="28"/>
        </w:rPr>
        <w:t xml:space="preserve">Conseil d’État </w:t>
      </w:r>
      <w:r w:rsidRPr="00003B01">
        <w:rPr>
          <w:rFonts w:ascii="Times New Roman" w:hAnsi="Times New Roman" w:cs="Times New Roman"/>
          <w:i/>
          <w:sz w:val="28"/>
          <w:szCs w:val="28"/>
        </w:rPr>
        <w:t>(Σ</w:t>
      </w:r>
      <w:r w:rsidRPr="00003B01">
        <w:rPr>
          <w:rFonts w:ascii="Times New Roman" w:hAnsi="Times New Roman" w:cs="Times New Roman"/>
          <w:sz w:val="28"/>
          <w:szCs w:val="28"/>
        </w:rPr>
        <w:t>υμβούλιο της Επικρατείας) είχε κριθεί ασύμβατη με το δίκαιο της Ένωσης με προγενέστερες αποφάσεις του Δικαστηρίου καταδε</w:t>
      </w:r>
      <w:r w:rsidR="0039552A" w:rsidRPr="00003B01">
        <w:rPr>
          <w:rFonts w:ascii="Times New Roman" w:hAnsi="Times New Roman" w:cs="Times New Roman"/>
          <w:sz w:val="28"/>
          <w:szCs w:val="28"/>
          <w:lang w:val="el-GR"/>
        </w:rPr>
        <w:t>ίκνυε</w:t>
      </w:r>
      <w:r w:rsidRPr="00003B01">
        <w:rPr>
          <w:rFonts w:ascii="Times New Roman" w:hAnsi="Times New Roman" w:cs="Times New Roman"/>
          <w:sz w:val="28"/>
          <w:szCs w:val="28"/>
        </w:rPr>
        <w:t xml:space="preserve"> ότι υφίστατο εύλογη αμφιβολία ως προς την ερμηνεία του δικαίου της Ένωσης κατά τον χρόνο εκδόσεως της αποφάσε</w:t>
      </w:r>
      <w:r w:rsidR="0039552A" w:rsidRPr="00003B01">
        <w:rPr>
          <w:rFonts w:ascii="Times New Roman" w:hAnsi="Times New Roman" w:cs="Times New Roman"/>
          <w:sz w:val="28"/>
          <w:szCs w:val="28"/>
          <w:lang w:val="el-GR"/>
        </w:rPr>
        <w:t>ως</w:t>
      </w:r>
      <w:r w:rsidR="00E6220A" w:rsidRPr="00003B01">
        <w:rPr>
          <w:rFonts w:ascii="Times New Roman" w:hAnsi="Times New Roman" w:cs="Times New Roman"/>
          <w:sz w:val="28"/>
          <w:szCs w:val="28"/>
          <w:lang w:val="el-GR"/>
        </w:rPr>
        <w:t xml:space="preserve"> του γαλλικού ανωτάτου δικαστηρίου</w:t>
      </w:r>
      <w:r w:rsidRPr="00003B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D1ACE9" w14:textId="150FAFFA" w:rsidR="00B8663A" w:rsidRPr="00003B01" w:rsidRDefault="00A378BE">
      <w:pPr>
        <w:pStyle w:val="P68B1DB1-Normal3"/>
        <w:spacing w:line="276" w:lineRule="auto"/>
        <w:jc w:val="both"/>
        <w:rPr>
          <w:sz w:val="28"/>
          <w:szCs w:val="28"/>
        </w:rPr>
      </w:pPr>
      <w:r w:rsidRPr="00003B01">
        <w:rPr>
          <w:sz w:val="28"/>
          <w:szCs w:val="28"/>
          <w:lang w:val="el-GR"/>
        </w:rPr>
        <w:t>Η</w:t>
      </w:r>
      <w:r w:rsidR="00FD6843" w:rsidRPr="00003B01">
        <w:rPr>
          <w:sz w:val="28"/>
          <w:szCs w:val="28"/>
        </w:rPr>
        <w:t xml:space="preserve"> πλέον πρόσφατη εξέλιξη στον τομέα αυτόν απορρέει από την υπόθεση </w:t>
      </w:r>
      <w:r w:rsidR="00FD6843" w:rsidRPr="00003B01">
        <w:rPr>
          <w:i/>
          <w:sz w:val="28"/>
          <w:szCs w:val="28"/>
        </w:rPr>
        <w:t>Consorzio Italian Management</w:t>
      </w:r>
      <w:r w:rsidR="00FD6843" w:rsidRPr="00003B01">
        <w:rPr>
          <w:sz w:val="28"/>
          <w:szCs w:val="28"/>
        </w:rPr>
        <w:t>. Με τις προτάσε</w:t>
      </w:r>
      <w:r w:rsidR="00C91E7C" w:rsidRPr="00003B01">
        <w:rPr>
          <w:sz w:val="28"/>
          <w:szCs w:val="28"/>
        </w:rPr>
        <w:t>ις του, ο γενικός εισαγγελέας M</w:t>
      </w:r>
      <w:r w:rsidR="00C91E7C" w:rsidRPr="00003B01">
        <w:rPr>
          <w:sz w:val="28"/>
          <w:szCs w:val="28"/>
          <w:lang w:val="it-IT"/>
        </w:rPr>
        <w:t>ichal</w:t>
      </w:r>
      <w:r w:rsidR="00FD6843" w:rsidRPr="00003B01">
        <w:rPr>
          <w:sz w:val="28"/>
          <w:szCs w:val="28"/>
        </w:rPr>
        <w:t xml:space="preserve"> Bobek ζήτησε ρητώς από το Δικαστήριο να επανεξετάσει τα κριτήρια </w:t>
      </w:r>
      <w:r w:rsidR="00C41635" w:rsidRPr="00003B01">
        <w:rPr>
          <w:sz w:val="28"/>
          <w:szCs w:val="28"/>
        </w:rPr>
        <w:t>της</w:t>
      </w:r>
      <w:r w:rsidR="00C41635" w:rsidRPr="00003B01">
        <w:rPr>
          <w:sz w:val="28"/>
          <w:szCs w:val="28"/>
          <w:lang w:val="el-GR"/>
        </w:rPr>
        <w:t xml:space="preserve"> απόφασης</w:t>
      </w:r>
      <w:r w:rsidR="00FD6843" w:rsidRPr="00003B01">
        <w:rPr>
          <w:sz w:val="28"/>
          <w:szCs w:val="28"/>
        </w:rPr>
        <w:t xml:space="preserve"> </w:t>
      </w:r>
      <w:r w:rsidR="00FD6843" w:rsidRPr="00003B01">
        <w:rPr>
          <w:i/>
          <w:sz w:val="28"/>
          <w:szCs w:val="28"/>
        </w:rPr>
        <w:t>CILFIT</w:t>
      </w:r>
      <w:r w:rsidR="00FD6843" w:rsidRPr="00003B01">
        <w:rPr>
          <w:sz w:val="28"/>
          <w:szCs w:val="28"/>
        </w:rPr>
        <w:t xml:space="preserve">, </w:t>
      </w:r>
      <w:r w:rsidR="00C41635" w:rsidRPr="00003B01">
        <w:rPr>
          <w:sz w:val="28"/>
          <w:szCs w:val="28"/>
          <w:lang w:val="el-GR"/>
        </w:rPr>
        <w:t>λαμβάνοντας υπόψη</w:t>
      </w:r>
      <w:r w:rsidR="00FD6843" w:rsidRPr="00003B01">
        <w:rPr>
          <w:sz w:val="28"/>
          <w:szCs w:val="28"/>
        </w:rPr>
        <w:t xml:space="preserve"> </w:t>
      </w:r>
      <w:r w:rsidR="00C41635" w:rsidRPr="00003B01">
        <w:rPr>
          <w:sz w:val="28"/>
          <w:szCs w:val="28"/>
          <w:lang w:val="el-GR"/>
        </w:rPr>
        <w:t>τις</w:t>
      </w:r>
      <w:r w:rsidR="00FD6843" w:rsidRPr="00003B01">
        <w:rPr>
          <w:sz w:val="28"/>
          <w:szCs w:val="28"/>
        </w:rPr>
        <w:t xml:space="preserve"> «</w:t>
      </w:r>
      <w:r w:rsidR="00C41635" w:rsidRPr="00003B01">
        <w:rPr>
          <w:sz w:val="28"/>
          <w:szCs w:val="28"/>
          <w:lang w:val="el-GR"/>
        </w:rPr>
        <w:t>ατέλειες</w:t>
      </w:r>
      <w:r w:rsidR="00FD6843" w:rsidRPr="00003B01">
        <w:rPr>
          <w:sz w:val="28"/>
          <w:szCs w:val="28"/>
        </w:rPr>
        <w:t xml:space="preserve"> στην αρχική </w:t>
      </w:r>
      <w:r w:rsidR="00C41635" w:rsidRPr="00003B01">
        <w:rPr>
          <w:sz w:val="28"/>
          <w:szCs w:val="28"/>
          <w:lang w:val="el-GR"/>
        </w:rPr>
        <w:t>σύλληψη</w:t>
      </w:r>
      <w:r w:rsidR="00FD6843" w:rsidRPr="00003B01">
        <w:rPr>
          <w:sz w:val="28"/>
          <w:szCs w:val="28"/>
        </w:rPr>
        <w:t xml:space="preserve"> </w:t>
      </w:r>
      <w:r w:rsidR="00C41635" w:rsidRPr="00003B01">
        <w:rPr>
          <w:sz w:val="28"/>
          <w:szCs w:val="28"/>
          <w:lang w:val="el-GR"/>
        </w:rPr>
        <w:lastRenderedPageBreak/>
        <w:t>των κριτηρίων</w:t>
      </w:r>
      <w:r w:rsidR="00FD6843" w:rsidRPr="00003B01">
        <w:rPr>
          <w:sz w:val="28"/>
          <w:szCs w:val="28"/>
        </w:rPr>
        <w:t xml:space="preserve">» </w:t>
      </w:r>
      <w:r w:rsidR="00C41635" w:rsidRPr="00003B01">
        <w:rPr>
          <w:sz w:val="28"/>
          <w:szCs w:val="28"/>
          <w:lang w:val="el-GR"/>
        </w:rPr>
        <w:t>οι οποίες</w:t>
      </w:r>
      <w:r w:rsidR="00FD6843" w:rsidRPr="00003B01">
        <w:rPr>
          <w:sz w:val="28"/>
          <w:szCs w:val="28"/>
        </w:rPr>
        <w:t xml:space="preserve"> καθιστούσ</w:t>
      </w:r>
      <w:r w:rsidR="00C41635" w:rsidRPr="00003B01">
        <w:rPr>
          <w:sz w:val="28"/>
          <w:szCs w:val="28"/>
          <w:lang w:val="el-GR"/>
        </w:rPr>
        <w:t>αν</w:t>
      </w:r>
      <w:r w:rsidR="00FD6843" w:rsidRPr="00003B01">
        <w:rPr>
          <w:sz w:val="28"/>
          <w:szCs w:val="28"/>
        </w:rPr>
        <w:t xml:space="preserve"> δυσχερή</w:t>
      </w:r>
      <w:r w:rsidR="00C41635" w:rsidRPr="00003B01">
        <w:rPr>
          <w:sz w:val="28"/>
          <w:szCs w:val="28"/>
          <w:lang w:val="el-GR"/>
        </w:rPr>
        <w:t xml:space="preserve"> ή και σχεδόν </w:t>
      </w:r>
      <w:r w:rsidR="00FD6843" w:rsidRPr="00003B01">
        <w:rPr>
          <w:sz w:val="28"/>
          <w:szCs w:val="28"/>
        </w:rPr>
        <w:t xml:space="preserve">αδύνατη την εφαρμογή της νομολογίας αυτής στην πράξη. </w:t>
      </w:r>
      <w:r w:rsidR="00C41635" w:rsidRPr="00003B01">
        <w:rPr>
          <w:sz w:val="28"/>
          <w:szCs w:val="28"/>
          <w:lang w:val="el-GR"/>
        </w:rPr>
        <w:t xml:space="preserve">Ο γενικός εισαγγελέας </w:t>
      </w:r>
      <w:r w:rsidR="00C41635" w:rsidRPr="00003B01">
        <w:rPr>
          <w:sz w:val="28"/>
          <w:szCs w:val="28"/>
        </w:rPr>
        <w:t>Bobek</w:t>
      </w:r>
      <w:r w:rsidR="00C41635" w:rsidRPr="00003B01">
        <w:rPr>
          <w:sz w:val="28"/>
          <w:szCs w:val="28"/>
          <w:lang w:val="el-GR"/>
        </w:rPr>
        <w:t xml:space="preserve"> π</w:t>
      </w:r>
      <w:r w:rsidR="00FD6843" w:rsidRPr="00003B01">
        <w:rPr>
          <w:sz w:val="28"/>
          <w:szCs w:val="28"/>
        </w:rPr>
        <w:t xml:space="preserve">ρότεινε η </w:t>
      </w:r>
      <w:r w:rsidR="00C41635" w:rsidRPr="00003B01">
        <w:rPr>
          <w:sz w:val="28"/>
          <w:szCs w:val="28"/>
          <w:lang w:val="el-GR"/>
        </w:rPr>
        <w:t>αναγνώριση</w:t>
      </w:r>
      <w:r w:rsidR="00FD6843" w:rsidRPr="00003B01">
        <w:rPr>
          <w:sz w:val="28"/>
          <w:szCs w:val="28"/>
        </w:rPr>
        <w:t xml:space="preserve"> της υποχρεώσεως προδικαστικ</w:t>
      </w:r>
      <w:r w:rsidR="00CA0F23" w:rsidRPr="00003B01">
        <w:rPr>
          <w:sz w:val="28"/>
          <w:szCs w:val="28"/>
          <w:lang w:val="el-GR"/>
        </w:rPr>
        <w:t>ής παραπομπής</w:t>
      </w:r>
      <w:r w:rsidR="00FD6843" w:rsidRPr="00003B01">
        <w:rPr>
          <w:sz w:val="28"/>
          <w:szCs w:val="28"/>
        </w:rPr>
        <w:t xml:space="preserve"> </w:t>
      </w:r>
      <w:r w:rsidR="00CB08C5" w:rsidRPr="00003B01">
        <w:rPr>
          <w:sz w:val="28"/>
          <w:szCs w:val="28"/>
          <w:lang w:val="el-GR"/>
        </w:rPr>
        <w:t xml:space="preserve">να </w:t>
      </w:r>
      <w:r w:rsidR="00FD6843" w:rsidRPr="00003B01">
        <w:rPr>
          <w:sz w:val="28"/>
          <w:szCs w:val="28"/>
        </w:rPr>
        <w:t xml:space="preserve">εξαρτάται από τρεις σωρευτικές προϋποθέσεις: </w:t>
      </w:r>
    </w:p>
    <w:p w14:paraId="08E364C1" w14:textId="1F7C2BE8" w:rsidR="00B8663A" w:rsidRPr="00003B01" w:rsidRDefault="00CB08C5">
      <w:pPr>
        <w:pStyle w:val="P68B1DB1-Normal3"/>
        <w:spacing w:line="276" w:lineRule="auto"/>
        <w:rPr>
          <w:sz w:val="28"/>
          <w:szCs w:val="28"/>
        </w:rPr>
      </w:pPr>
      <w:r w:rsidRPr="00003B01">
        <w:rPr>
          <w:sz w:val="28"/>
          <w:szCs w:val="28"/>
          <w:lang w:val="it-IT"/>
        </w:rPr>
        <w:t>i</w:t>
      </w:r>
      <w:r w:rsidR="00FD6843" w:rsidRPr="00003B01">
        <w:rPr>
          <w:sz w:val="28"/>
          <w:szCs w:val="28"/>
        </w:rPr>
        <w:t xml:space="preserve">) </w:t>
      </w:r>
      <w:r w:rsidRPr="00003B01">
        <w:rPr>
          <w:sz w:val="28"/>
          <w:szCs w:val="28"/>
        </w:rPr>
        <w:t>πρέπει</w:t>
      </w:r>
      <w:r w:rsidR="00C41635" w:rsidRPr="00003B01">
        <w:rPr>
          <w:sz w:val="28"/>
          <w:szCs w:val="28"/>
          <w:lang w:val="el-GR"/>
        </w:rPr>
        <w:t>, πρώτον,</w:t>
      </w:r>
      <w:r w:rsidRPr="00003B01">
        <w:rPr>
          <w:sz w:val="28"/>
          <w:szCs w:val="28"/>
        </w:rPr>
        <w:t xml:space="preserve"> να </w:t>
      </w:r>
      <w:r w:rsidR="00C41635" w:rsidRPr="00003B01">
        <w:rPr>
          <w:sz w:val="28"/>
          <w:szCs w:val="28"/>
          <w:lang w:val="el-GR"/>
        </w:rPr>
        <w:t>εγείρεται ένα</w:t>
      </w:r>
      <w:r w:rsidR="00FD6843" w:rsidRPr="00003B01">
        <w:rPr>
          <w:sz w:val="28"/>
          <w:szCs w:val="28"/>
        </w:rPr>
        <w:t xml:space="preserve"> γενικό ζήτημα ερμηνείας του δικαίου της Ένωσης</w:t>
      </w:r>
      <w:r w:rsidRPr="00003B01">
        <w:rPr>
          <w:sz w:val="28"/>
          <w:szCs w:val="28"/>
          <w:lang w:val="el-GR"/>
        </w:rPr>
        <w:t>,</w:t>
      </w:r>
      <w:r w:rsidR="00FD6843" w:rsidRPr="00003B01">
        <w:rPr>
          <w:sz w:val="28"/>
          <w:szCs w:val="28"/>
        </w:rPr>
        <w:t xml:space="preserve"> </w:t>
      </w:r>
      <w:r w:rsidR="00FD6843" w:rsidRPr="00003B01">
        <w:rPr>
          <w:sz w:val="28"/>
          <w:szCs w:val="28"/>
        </w:rPr>
        <w:br/>
      </w:r>
      <w:r w:rsidRPr="00003B01">
        <w:rPr>
          <w:sz w:val="28"/>
          <w:szCs w:val="28"/>
          <w:lang w:val="it-IT"/>
        </w:rPr>
        <w:t>ii</w:t>
      </w:r>
      <w:r w:rsidR="00FD6843" w:rsidRPr="00003B01">
        <w:rPr>
          <w:sz w:val="28"/>
          <w:szCs w:val="28"/>
        </w:rPr>
        <w:t xml:space="preserve">) </w:t>
      </w:r>
      <w:r w:rsidR="00C41635" w:rsidRPr="00003B01">
        <w:rPr>
          <w:sz w:val="28"/>
          <w:szCs w:val="28"/>
        </w:rPr>
        <w:t>σχετικά με το οποίο</w:t>
      </w:r>
      <w:r w:rsidR="00C41635" w:rsidRPr="00003B01">
        <w:rPr>
          <w:sz w:val="28"/>
          <w:szCs w:val="28"/>
          <w:lang w:val="el-GR"/>
        </w:rPr>
        <w:t>, δεύτερον,</w:t>
      </w:r>
      <w:r w:rsidR="00C41635" w:rsidRPr="00003B01">
        <w:rPr>
          <w:sz w:val="28"/>
          <w:szCs w:val="28"/>
        </w:rPr>
        <w:t xml:space="preserve"> υπάρχουν αντικειμενικά περισσότερες από μία πιθανές εύλογες ερμηνείες</w:t>
      </w:r>
      <w:r w:rsidR="00C41635" w:rsidRPr="00003B01">
        <w:rPr>
          <w:sz w:val="28"/>
          <w:szCs w:val="28"/>
          <w:lang w:val="el-GR"/>
        </w:rPr>
        <w:t>,</w:t>
      </w:r>
      <w:r w:rsidR="00C41635" w:rsidRPr="00003B01">
        <w:rPr>
          <w:sz w:val="28"/>
          <w:szCs w:val="28"/>
        </w:rPr>
        <w:t xml:space="preserve"> </w:t>
      </w:r>
      <w:r w:rsidRPr="00003B01">
        <w:rPr>
          <w:sz w:val="28"/>
          <w:szCs w:val="28"/>
          <w:lang w:val="el-GR"/>
        </w:rPr>
        <w:t>κ</w:t>
      </w:r>
      <w:r w:rsidR="00FD6843" w:rsidRPr="00003B01">
        <w:rPr>
          <w:sz w:val="28"/>
          <w:szCs w:val="28"/>
        </w:rPr>
        <w:t xml:space="preserve">αι </w:t>
      </w:r>
      <w:r w:rsidR="00FD6843" w:rsidRPr="00003B01">
        <w:rPr>
          <w:sz w:val="28"/>
          <w:szCs w:val="28"/>
        </w:rPr>
        <w:br/>
      </w:r>
      <w:r w:rsidRPr="00003B01">
        <w:rPr>
          <w:sz w:val="28"/>
          <w:szCs w:val="28"/>
          <w:lang w:val="it-IT"/>
        </w:rPr>
        <w:t>iii</w:t>
      </w:r>
      <w:r w:rsidR="00FD6843" w:rsidRPr="00003B01">
        <w:rPr>
          <w:sz w:val="28"/>
          <w:szCs w:val="28"/>
        </w:rPr>
        <w:t>) για το οποίο</w:t>
      </w:r>
      <w:r w:rsidR="00C41635" w:rsidRPr="00003B01">
        <w:rPr>
          <w:sz w:val="28"/>
          <w:szCs w:val="28"/>
          <w:lang w:val="el-GR"/>
        </w:rPr>
        <w:t>, τρίτον,</w:t>
      </w:r>
      <w:r w:rsidR="00FD6843" w:rsidRPr="00003B01">
        <w:rPr>
          <w:sz w:val="28"/>
          <w:szCs w:val="28"/>
        </w:rPr>
        <w:t xml:space="preserve"> η απάντηση δεν μπορεί να συναχθεί από την υφιστάμενη νομολογία του Δικαστηρίου. </w:t>
      </w:r>
    </w:p>
    <w:p w14:paraId="169CE834" w14:textId="6F6A5BDF" w:rsidR="00B8663A" w:rsidRPr="00003B01" w:rsidRDefault="00CA0F23">
      <w:pPr>
        <w:pStyle w:val="P68B1DB1-Normal3"/>
        <w:spacing w:line="276" w:lineRule="auto"/>
        <w:jc w:val="both"/>
        <w:rPr>
          <w:sz w:val="28"/>
          <w:szCs w:val="28"/>
        </w:rPr>
      </w:pPr>
      <w:r w:rsidRPr="00003B01">
        <w:rPr>
          <w:sz w:val="28"/>
          <w:szCs w:val="28"/>
          <w:lang w:val="el-GR"/>
        </w:rPr>
        <w:t>Ωστόσο</w:t>
      </w:r>
      <w:r w:rsidR="00FD6843" w:rsidRPr="00003B01">
        <w:rPr>
          <w:sz w:val="28"/>
          <w:szCs w:val="28"/>
        </w:rPr>
        <w:t xml:space="preserve">, με την απόφασή του, το Δικαστήριο δεν ακολούθησε τη συλλογιστική </w:t>
      </w:r>
      <w:r w:rsidRPr="00003B01">
        <w:rPr>
          <w:sz w:val="28"/>
          <w:szCs w:val="28"/>
          <w:lang w:val="el-GR"/>
        </w:rPr>
        <w:t xml:space="preserve">του γενικού εισαγγελέα </w:t>
      </w:r>
      <w:r w:rsidR="00FD6843" w:rsidRPr="00003B01">
        <w:rPr>
          <w:sz w:val="28"/>
          <w:szCs w:val="28"/>
        </w:rPr>
        <w:t xml:space="preserve">και επιβεβαίωσε τα κριτήρια της </w:t>
      </w:r>
      <w:r w:rsidRPr="00003B01">
        <w:rPr>
          <w:sz w:val="28"/>
          <w:szCs w:val="28"/>
          <w:lang w:val="el-GR"/>
        </w:rPr>
        <w:t xml:space="preserve">απόφασης </w:t>
      </w:r>
      <w:r w:rsidR="00FD6843" w:rsidRPr="00003B01">
        <w:rPr>
          <w:i/>
          <w:sz w:val="28"/>
          <w:szCs w:val="28"/>
        </w:rPr>
        <w:t>CILFIT</w:t>
      </w:r>
      <w:r w:rsidR="00FD6843" w:rsidRPr="00003B01">
        <w:rPr>
          <w:sz w:val="28"/>
          <w:szCs w:val="28"/>
        </w:rPr>
        <w:t xml:space="preserve">. Τούτου </w:t>
      </w:r>
      <w:r w:rsidRPr="00003B01">
        <w:rPr>
          <w:sz w:val="28"/>
          <w:szCs w:val="28"/>
          <w:lang w:val="el-GR"/>
        </w:rPr>
        <w:t>λεχθέντος</w:t>
      </w:r>
      <w:r w:rsidR="00FD6843" w:rsidRPr="00003B01">
        <w:rPr>
          <w:sz w:val="28"/>
          <w:szCs w:val="28"/>
        </w:rPr>
        <w:t>, το Δικαστήριο εστίασε λιγότερο «</w:t>
      </w:r>
      <w:r w:rsidRPr="00003B01">
        <w:rPr>
          <w:sz w:val="28"/>
          <w:szCs w:val="28"/>
          <w:lang w:val="el-GR"/>
        </w:rPr>
        <w:t>σ</w:t>
      </w:r>
      <w:r w:rsidR="00FD6843" w:rsidRPr="00003B01">
        <w:rPr>
          <w:sz w:val="28"/>
          <w:szCs w:val="28"/>
        </w:rPr>
        <w:t>την απαίτηση σ</w:t>
      </w:r>
      <w:r w:rsidR="0093407F" w:rsidRPr="00003B01">
        <w:rPr>
          <w:sz w:val="28"/>
          <w:szCs w:val="28"/>
          <w:lang w:val="el-GR"/>
        </w:rPr>
        <w:t>ύ</w:t>
      </w:r>
      <w:r w:rsidR="00FD6843" w:rsidRPr="00003B01">
        <w:rPr>
          <w:sz w:val="28"/>
          <w:szCs w:val="28"/>
        </w:rPr>
        <w:t>γκρ</w:t>
      </w:r>
      <w:r w:rsidR="0093407F" w:rsidRPr="00003B01">
        <w:rPr>
          <w:sz w:val="28"/>
          <w:szCs w:val="28"/>
          <w:lang w:val="el-GR"/>
        </w:rPr>
        <w:t>ισης των γλωσσικών αποδόσεων</w:t>
      </w:r>
      <w:r w:rsidRPr="00003B01">
        <w:rPr>
          <w:sz w:val="28"/>
          <w:szCs w:val="28"/>
          <w:lang w:val="el-GR"/>
        </w:rPr>
        <w:t>»</w:t>
      </w:r>
      <w:r w:rsidR="00FD6843" w:rsidRPr="00003B01">
        <w:rPr>
          <w:sz w:val="28"/>
          <w:szCs w:val="28"/>
        </w:rPr>
        <w:t xml:space="preserve"> και διευκρίνισε ότι το γεγονός και μόνον ότι μια διάταξη του δικαίου της Ένωσης επιδέχεται πλείονες </w:t>
      </w:r>
      <w:r w:rsidRPr="00003B01">
        <w:rPr>
          <w:sz w:val="28"/>
          <w:szCs w:val="28"/>
          <w:lang w:val="el-GR"/>
        </w:rPr>
        <w:t>ερμηνείες</w:t>
      </w:r>
      <w:r w:rsidR="00FD6843" w:rsidRPr="00003B01">
        <w:rPr>
          <w:sz w:val="28"/>
          <w:szCs w:val="28"/>
        </w:rPr>
        <w:t xml:space="preserve"> δεν αρκεί για να θεωρηθεί ότι υφίσταται εύλογη αμφιβολία ως προς την ορθή ερμηνεία της διατάξεως. </w:t>
      </w:r>
      <w:r w:rsidRPr="00003B01">
        <w:rPr>
          <w:sz w:val="28"/>
          <w:szCs w:val="28"/>
          <w:lang w:val="el-GR"/>
        </w:rPr>
        <w:t>Τ</w:t>
      </w:r>
      <w:r w:rsidR="00FD6843" w:rsidRPr="00003B01">
        <w:rPr>
          <w:sz w:val="28"/>
          <w:szCs w:val="28"/>
        </w:rPr>
        <w:t xml:space="preserve">ο Δικαστήριο τόνισε </w:t>
      </w:r>
      <w:r w:rsidRPr="00003B01">
        <w:rPr>
          <w:sz w:val="28"/>
          <w:szCs w:val="28"/>
          <w:lang w:val="el-GR"/>
        </w:rPr>
        <w:t xml:space="preserve">ταυτόχρονα </w:t>
      </w:r>
      <w:r w:rsidR="00FD6843" w:rsidRPr="00003B01">
        <w:rPr>
          <w:sz w:val="28"/>
          <w:szCs w:val="28"/>
        </w:rPr>
        <w:t xml:space="preserve">ότι, όταν </w:t>
      </w:r>
      <w:r w:rsidRPr="00003B01">
        <w:rPr>
          <w:sz w:val="28"/>
          <w:szCs w:val="28"/>
          <w:lang w:val="el-GR"/>
        </w:rPr>
        <w:t xml:space="preserve">ένα </w:t>
      </w:r>
      <w:r w:rsidR="00FD6843" w:rsidRPr="00003B01">
        <w:rPr>
          <w:sz w:val="28"/>
          <w:szCs w:val="28"/>
        </w:rPr>
        <w:t xml:space="preserve">δικαστήριο τελευταίου βαθμού γνωρίζει </w:t>
      </w:r>
      <w:r w:rsidR="001222B7" w:rsidRPr="00003B01">
        <w:rPr>
          <w:sz w:val="28"/>
          <w:szCs w:val="28"/>
          <w:lang w:val="el-GR"/>
        </w:rPr>
        <w:t xml:space="preserve">ότι υφίστανται </w:t>
      </w:r>
      <w:r w:rsidR="0093407F" w:rsidRPr="00003B01">
        <w:rPr>
          <w:sz w:val="28"/>
          <w:szCs w:val="28"/>
          <w:lang w:val="el-GR"/>
        </w:rPr>
        <w:t>διιστάμενες</w:t>
      </w:r>
      <w:r w:rsidR="001222B7" w:rsidRPr="00003B01">
        <w:rPr>
          <w:sz w:val="28"/>
          <w:szCs w:val="28"/>
          <w:lang w:val="el-GR"/>
        </w:rPr>
        <w:t xml:space="preserve"> νομολογιακές απόψεις</w:t>
      </w:r>
      <w:r w:rsidR="00FD6843" w:rsidRPr="00003B01">
        <w:rPr>
          <w:sz w:val="28"/>
          <w:szCs w:val="28"/>
        </w:rPr>
        <w:t xml:space="preserve"> σχετικά με την ερμηνεία διατάξεως του δικαίου της Ένωσης, </w:t>
      </w:r>
      <w:r w:rsidR="001222B7" w:rsidRPr="00003B01">
        <w:rPr>
          <w:sz w:val="28"/>
          <w:szCs w:val="28"/>
          <w:lang w:val="el-GR"/>
        </w:rPr>
        <w:t xml:space="preserve">τότε </w:t>
      </w:r>
      <w:r w:rsidR="00FD6843" w:rsidRPr="00003B01">
        <w:rPr>
          <w:sz w:val="28"/>
          <w:szCs w:val="28"/>
        </w:rPr>
        <w:t xml:space="preserve">το </w:t>
      </w:r>
      <w:r w:rsidR="0093407F" w:rsidRPr="00003B01">
        <w:rPr>
          <w:sz w:val="28"/>
          <w:szCs w:val="28"/>
          <w:lang w:val="el-GR"/>
        </w:rPr>
        <w:t xml:space="preserve">εθνικό </w:t>
      </w:r>
      <w:r w:rsidR="00FD6843" w:rsidRPr="00003B01">
        <w:rPr>
          <w:sz w:val="28"/>
          <w:szCs w:val="28"/>
        </w:rPr>
        <w:t xml:space="preserve">δικαστήριο πρέπει να επιδεικνύει ιδιαίτερη προσοχή κατά την εκτίμηση της υπάρξεως ή μη εύλογης αμφιβολίας ως προς την ορθή ερμηνεία της </w:t>
      </w:r>
      <w:r w:rsidR="001222B7" w:rsidRPr="00003B01">
        <w:rPr>
          <w:sz w:val="28"/>
          <w:szCs w:val="28"/>
          <w:lang w:val="el-GR"/>
        </w:rPr>
        <w:t xml:space="preserve">επίμαχης </w:t>
      </w:r>
      <w:r w:rsidR="00FD6843" w:rsidRPr="00003B01">
        <w:rPr>
          <w:sz w:val="28"/>
          <w:szCs w:val="28"/>
        </w:rPr>
        <w:t>διατάξεως.</w:t>
      </w:r>
    </w:p>
    <w:p w14:paraId="56475E1E" w14:textId="04F5A112" w:rsidR="00B8663A" w:rsidRPr="00003B01" w:rsidRDefault="00AC54CB" w:rsidP="00003B01">
      <w:pPr>
        <w:pStyle w:val="P68B1DB1-Normal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l-GR"/>
        </w:rPr>
        <w:t>Αξίζει μια αναφορά στους</w:t>
      </w:r>
      <w:r w:rsidR="00FD6843" w:rsidRPr="00003B01">
        <w:rPr>
          <w:sz w:val="28"/>
          <w:szCs w:val="28"/>
        </w:rPr>
        <w:t xml:space="preserve"> </w:t>
      </w:r>
      <w:r w:rsidR="006E72BA" w:rsidRPr="00003B01">
        <w:rPr>
          <w:sz w:val="28"/>
          <w:szCs w:val="28"/>
          <w:lang w:val="el-GR"/>
        </w:rPr>
        <w:t>καταληκτικ</w:t>
      </w:r>
      <w:r>
        <w:rPr>
          <w:sz w:val="28"/>
          <w:szCs w:val="28"/>
          <w:lang w:val="el-GR"/>
        </w:rPr>
        <w:t>ού</w:t>
      </w:r>
      <w:r w:rsidR="00182272" w:rsidRPr="00003B01">
        <w:rPr>
          <w:sz w:val="28"/>
          <w:szCs w:val="28"/>
          <w:lang w:val="el-GR"/>
        </w:rPr>
        <w:t>ς</w:t>
      </w:r>
      <w:r w:rsidR="00FD6843" w:rsidRPr="00003B01">
        <w:rPr>
          <w:sz w:val="28"/>
          <w:szCs w:val="28"/>
        </w:rPr>
        <w:t xml:space="preserve"> </w:t>
      </w:r>
      <w:r>
        <w:rPr>
          <w:sz w:val="28"/>
          <w:szCs w:val="28"/>
          <w:lang w:val="el-GR"/>
        </w:rPr>
        <w:t>συλλογισμούς</w:t>
      </w:r>
      <w:r w:rsidR="00FD6843" w:rsidRPr="00003B01">
        <w:rPr>
          <w:sz w:val="28"/>
          <w:szCs w:val="28"/>
        </w:rPr>
        <w:t xml:space="preserve"> του Δικαστηρίου στην απόφαση </w:t>
      </w:r>
      <w:r w:rsidR="00FD6843" w:rsidRPr="00003B01">
        <w:rPr>
          <w:i/>
          <w:sz w:val="28"/>
          <w:szCs w:val="28"/>
        </w:rPr>
        <w:t>Consorzio Italian Management</w:t>
      </w:r>
      <w:r w:rsidR="00FD6843" w:rsidRPr="00003B01">
        <w:rPr>
          <w:sz w:val="28"/>
          <w:szCs w:val="28"/>
        </w:rPr>
        <w:t xml:space="preserve">, </w:t>
      </w:r>
      <w:r w:rsidR="006E72BA" w:rsidRPr="00003B01">
        <w:rPr>
          <w:sz w:val="28"/>
          <w:szCs w:val="28"/>
          <w:lang w:val="el-GR"/>
        </w:rPr>
        <w:t xml:space="preserve">καθώς </w:t>
      </w:r>
      <w:r w:rsidR="00182272" w:rsidRPr="00003B01">
        <w:rPr>
          <w:sz w:val="28"/>
          <w:szCs w:val="28"/>
          <w:lang w:val="el-GR"/>
        </w:rPr>
        <w:t xml:space="preserve">άπτονται του ευρύτερου θέματος </w:t>
      </w:r>
      <w:r w:rsidR="00FD6843" w:rsidRPr="00003B01">
        <w:rPr>
          <w:sz w:val="28"/>
          <w:szCs w:val="28"/>
        </w:rPr>
        <w:t xml:space="preserve">της </w:t>
      </w:r>
      <w:r w:rsidR="00182272" w:rsidRPr="00003B01">
        <w:rPr>
          <w:sz w:val="28"/>
          <w:szCs w:val="28"/>
          <w:lang w:val="el-GR"/>
        </w:rPr>
        <w:t>παρούσας</w:t>
      </w:r>
      <w:r w:rsidR="00FD6843" w:rsidRPr="00003B01">
        <w:rPr>
          <w:sz w:val="28"/>
          <w:szCs w:val="28"/>
        </w:rPr>
        <w:t xml:space="preserve"> </w:t>
      </w:r>
      <w:r w:rsidR="00A626DF" w:rsidRPr="00003B01">
        <w:rPr>
          <w:sz w:val="28"/>
          <w:szCs w:val="28"/>
          <w:lang w:val="el-GR"/>
        </w:rPr>
        <w:t>εισήγησης</w:t>
      </w:r>
      <w:r w:rsidR="00FD6843" w:rsidRPr="00003B01">
        <w:rPr>
          <w:sz w:val="28"/>
          <w:szCs w:val="28"/>
        </w:rPr>
        <w:t xml:space="preserve">: </w:t>
      </w:r>
      <w:r w:rsidR="00182272" w:rsidRPr="00003B01">
        <w:rPr>
          <w:sz w:val="28"/>
          <w:szCs w:val="28"/>
          <w:lang w:val="el-GR"/>
        </w:rPr>
        <w:t>αφορούν τ</w:t>
      </w:r>
      <w:r w:rsidR="00FD6843" w:rsidRPr="00003B01">
        <w:rPr>
          <w:sz w:val="28"/>
          <w:szCs w:val="28"/>
        </w:rPr>
        <w:t xml:space="preserve">ον δικαστικό διάλογο μεταξύ </w:t>
      </w:r>
      <w:r w:rsidR="00182272" w:rsidRPr="00003B01">
        <w:rPr>
          <w:sz w:val="28"/>
          <w:szCs w:val="28"/>
          <w:lang w:val="el-GR"/>
        </w:rPr>
        <w:t>δικαιοδοτικών</w:t>
      </w:r>
      <w:r w:rsidR="00FD6843" w:rsidRPr="00003B01">
        <w:rPr>
          <w:sz w:val="28"/>
          <w:szCs w:val="28"/>
        </w:rPr>
        <w:t xml:space="preserve"> οργάνων </w:t>
      </w:r>
      <w:r w:rsidR="00182272" w:rsidRPr="00003B01">
        <w:rPr>
          <w:sz w:val="28"/>
          <w:szCs w:val="28"/>
          <w:lang w:val="el-GR"/>
        </w:rPr>
        <w:t>ο οποίος</w:t>
      </w:r>
      <w:r w:rsidR="00FD6843" w:rsidRPr="00003B01">
        <w:rPr>
          <w:sz w:val="28"/>
          <w:szCs w:val="28"/>
        </w:rPr>
        <w:t xml:space="preserve"> </w:t>
      </w:r>
      <w:r w:rsidR="00182272" w:rsidRPr="00003B01">
        <w:rPr>
          <w:sz w:val="28"/>
          <w:szCs w:val="28"/>
          <w:lang w:val="el-GR"/>
        </w:rPr>
        <w:t xml:space="preserve">κατατείνει στην </w:t>
      </w:r>
      <w:r w:rsidR="00FD6843" w:rsidRPr="00003B01">
        <w:rPr>
          <w:sz w:val="28"/>
          <w:szCs w:val="28"/>
        </w:rPr>
        <w:t xml:space="preserve">εξέλιξη του δικαίου. Στο τελευταίο τμήμα της αποφάσεως </w:t>
      </w:r>
      <w:r w:rsidR="00182272" w:rsidRPr="00003B01">
        <w:rPr>
          <w:i/>
          <w:sz w:val="28"/>
          <w:szCs w:val="28"/>
        </w:rPr>
        <w:t>Consorzio Italian Management</w:t>
      </w:r>
      <w:r w:rsidR="00FD6843" w:rsidRPr="00003B01">
        <w:rPr>
          <w:sz w:val="28"/>
          <w:szCs w:val="28"/>
        </w:rPr>
        <w:t xml:space="preserve">, το Δικαστήριο υπογράμμισε τη σημασία της υποχρεώσεως των εθνικών δικαστηρίων να αιτιολογούν την </w:t>
      </w:r>
      <w:r w:rsidR="00182272" w:rsidRPr="00003B01">
        <w:rPr>
          <w:sz w:val="28"/>
          <w:szCs w:val="28"/>
          <w:lang w:val="el-GR"/>
        </w:rPr>
        <w:t>απόφασή τους να μην υποβάλουν</w:t>
      </w:r>
      <w:r w:rsidR="00FD6843" w:rsidRPr="00003B01">
        <w:rPr>
          <w:sz w:val="28"/>
          <w:szCs w:val="28"/>
        </w:rPr>
        <w:t xml:space="preserve"> προδικαστικ</w:t>
      </w:r>
      <w:r w:rsidR="00182272" w:rsidRPr="00003B01">
        <w:rPr>
          <w:sz w:val="28"/>
          <w:szCs w:val="28"/>
          <w:lang w:val="el-GR"/>
        </w:rPr>
        <w:t>ά</w:t>
      </w:r>
      <w:r w:rsidR="00FD6843" w:rsidRPr="00003B01">
        <w:rPr>
          <w:sz w:val="28"/>
          <w:szCs w:val="28"/>
        </w:rPr>
        <w:t xml:space="preserve"> </w:t>
      </w:r>
      <w:r w:rsidR="00182272" w:rsidRPr="00003B01">
        <w:rPr>
          <w:sz w:val="28"/>
          <w:szCs w:val="28"/>
          <w:lang w:val="el-GR"/>
        </w:rPr>
        <w:t>ερωτήματα</w:t>
      </w:r>
      <w:r w:rsidR="00FD6843" w:rsidRPr="00003B01">
        <w:rPr>
          <w:sz w:val="28"/>
          <w:szCs w:val="28"/>
        </w:rPr>
        <w:t xml:space="preserve">. Από </w:t>
      </w:r>
      <w:r w:rsidR="00182272" w:rsidRPr="00003B01">
        <w:rPr>
          <w:sz w:val="28"/>
          <w:szCs w:val="28"/>
          <w:lang w:val="el-GR"/>
        </w:rPr>
        <w:t>το σκεπτικό τους</w:t>
      </w:r>
      <w:r w:rsidR="00FD6843" w:rsidRPr="00003B01">
        <w:rPr>
          <w:sz w:val="28"/>
          <w:szCs w:val="28"/>
        </w:rPr>
        <w:t xml:space="preserve"> </w:t>
      </w:r>
      <w:r w:rsidR="00182272" w:rsidRPr="00003B01">
        <w:rPr>
          <w:sz w:val="28"/>
          <w:szCs w:val="28"/>
          <w:lang w:val="el-GR"/>
        </w:rPr>
        <w:t xml:space="preserve">θα </w:t>
      </w:r>
      <w:r w:rsidR="00FD6843" w:rsidRPr="00003B01">
        <w:rPr>
          <w:sz w:val="28"/>
          <w:szCs w:val="28"/>
        </w:rPr>
        <w:t xml:space="preserve">πρέπει να προκύπτει ότι το ζήτημα του δικαίου της Ένωσης δεν ασκεί επιρροή ή ότι η ερμηνεία του δικαίου της Ένωσης είναι τόσο προφανής ώστε να μην αφήνει περιθώριο για καμία εύλογη αμφιβολία. Η απαίτηση αυτή </w:t>
      </w:r>
      <w:r w:rsidR="005769D9" w:rsidRPr="00003B01">
        <w:rPr>
          <w:sz w:val="28"/>
          <w:szCs w:val="28"/>
          <w:lang w:val="el-GR"/>
        </w:rPr>
        <w:t>ευθυγραμμίζεται με</w:t>
      </w:r>
      <w:r w:rsidR="00182272" w:rsidRPr="00003B01">
        <w:rPr>
          <w:sz w:val="28"/>
          <w:szCs w:val="28"/>
          <w:lang w:val="el-GR"/>
        </w:rPr>
        <w:t xml:space="preserve"> μια</w:t>
      </w:r>
      <w:r w:rsidR="00FD6843" w:rsidRPr="00003B01">
        <w:rPr>
          <w:sz w:val="28"/>
          <w:szCs w:val="28"/>
        </w:rPr>
        <w:t xml:space="preserve"> ενδιαφέρουσα </w:t>
      </w:r>
      <w:r w:rsidR="006434F5" w:rsidRPr="00003B01">
        <w:rPr>
          <w:sz w:val="28"/>
          <w:szCs w:val="28"/>
        </w:rPr>
        <w:t>νομολογι</w:t>
      </w:r>
      <w:r w:rsidR="00DB5393" w:rsidRPr="00003B01">
        <w:rPr>
          <w:sz w:val="28"/>
          <w:szCs w:val="28"/>
          <w:lang w:val="el-GR"/>
        </w:rPr>
        <w:t>α</w:t>
      </w:r>
      <w:r w:rsidR="006434F5" w:rsidRPr="00003B01">
        <w:rPr>
          <w:sz w:val="28"/>
          <w:szCs w:val="28"/>
        </w:rPr>
        <w:t>κή</w:t>
      </w:r>
      <w:r w:rsidR="00FD6843" w:rsidRPr="00003B01">
        <w:rPr>
          <w:sz w:val="28"/>
          <w:szCs w:val="28"/>
        </w:rPr>
        <w:t xml:space="preserve"> γραμμή, </w:t>
      </w:r>
      <w:r w:rsidR="00182272" w:rsidRPr="00003B01">
        <w:rPr>
          <w:sz w:val="28"/>
          <w:szCs w:val="28"/>
          <w:lang w:val="el-GR"/>
        </w:rPr>
        <w:t>τ</w:t>
      </w:r>
      <w:r w:rsidR="00FD6843" w:rsidRPr="00003B01">
        <w:rPr>
          <w:sz w:val="28"/>
          <w:szCs w:val="28"/>
        </w:rPr>
        <w:t>η</w:t>
      </w:r>
      <w:r w:rsidR="00182272" w:rsidRPr="00003B01">
        <w:rPr>
          <w:sz w:val="28"/>
          <w:szCs w:val="28"/>
          <w:lang w:val="el-GR"/>
        </w:rPr>
        <w:t>ν</w:t>
      </w:r>
      <w:r w:rsidR="00FD6843" w:rsidRPr="00003B01">
        <w:rPr>
          <w:sz w:val="28"/>
          <w:szCs w:val="28"/>
        </w:rPr>
        <w:t xml:space="preserve"> </w:t>
      </w:r>
      <w:r w:rsidR="00FD6843" w:rsidRPr="00003B01">
        <w:rPr>
          <w:sz w:val="28"/>
          <w:szCs w:val="28"/>
        </w:rPr>
        <w:lastRenderedPageBreak/>
        <w:t xml:space="preserve">οποία </w:t>
      </w:r>
      <w:r w:rsidR="00AD5075" w:rsidRPr="00003B01">
        <w:rPr>
          <w:sz w:val="28"/>
          <w:szCs w:val="28"/>
          <w:lang w:val="el-GR"/>
        </w:rPr>
        <w:t>χάραξε</w:t>
      </w:r>
      <w:r w:rsidR="00182272" w:rsidRPr="00003B01">
        <w:rPr>
          <w:sz w:val="28"/>
          <w:szCs w:val="28"/>
          <w:lang w:val="el-GR"/>
        </w:rPr>
        <w:t xml:space="preserve"> </w:t>
      </w:r>
      <w:r w:rsidR="00FD6843" w:rsidRPr="00003B01">
        <w:rPr>
          <w:sz w:val="28"/>
          <w:szCs w:val="28"/>
        </w:rPr>
        <w:t>το Ευρωπαϊκό Δικαστήριο Δικαιωμάτων του Ανθρώπου (στο εξής: ΕΔΔΑ) σε υποθέσεις που αφορού</w:t>
      </w:r>
      <w:r w:rsidR="00AD5075" w:rsidRPr="00003B01">
        <w:rPr>
          <w:sz w:val="28"/>
          <w:szCs w:val="28"/>
          <w:lang w:val="el-GR"/>
        </w:rPr>
        <w:t>σα</w:t>
      </w:r>
      <w:r w:rsidR="00FD6843" w:rsidRPr="00003B01">
        <w:rPr>
          <w:sz w:val="28"/>
          <w:szCs w:val="28"/>
        </w:rPr>
        <w:t>ν προβαλλόμενη παράβαση του άρθρο</w:t>
      </w:r>
      <w:r w:rsidR="005769D9" w:rsidRPr="00003B01">
        <w:rPr>
          <w:sz w:val="28"/>
          <w:szCs w:val="28"/>
          <w:lang w:val="el-GR"/>
        </w:rPr>
        <w:t>υ</w:t>
      </w:r>
      <w:r w:rsidR="00FD6843" w:rsidRPr="00003B01">
        <w:rPr>
          <w:sz w:val="28"/>
          <w:szCs w:val="28"/>
        </w:rPr>
        <w:t> 6</w:t>
      </w:r>
      <w:r w:rsidR="005769D9" w:rsidRPr="00003B01">
        <w:rPr>
          <w:sz w:val="28"/>
          <w:szCs w:val="28"/>
          <w:lang w:val="el-GR"/>
        </w:rPr>
        <w:t>,</w:t>
      </w:r>
      <w:r w:rsidR="00FD6843" w:rsidRPr="00003B01">
        <w:rPr>
          <w:sz w:val="28"/>
          <w:szCs w:val="28"/>
        </w:rPr>
        <w:t xml:space="preserve"> παράγραφος 1, της ΕΣΔΑ.</w:t>
      </w:r>
    </w:p>
    <w:p w14:paraId="1C84CD30" w14:textId="626AE845" w:rsidR="00B8663A" w:rsidRPr="00003B01" w:rsidRDefault="00FD6843">
      <w:pPr>
        <w:pStyle w:val="P68B1DB1-Normal3"/>
        <w:spacing w:line="276" w:lineRule="auto"/>
        <w:jc w:val="both"/>
        <w:rPr>
          <w:sz w:val="28"/>
          <w:szCs w:val="28"/>
        </w:rPr>
      </w:pPr>
      <w:r w:rsidRPr="00003B01">
        <w:rPr>
          <w:sz w:val="28"/>
          <w:szCs w:val="28"/>
        </w:rPr>
        <w:t xml:space="preserve">Υπενθυμίζω ότι το άρθρο 6 της ΕΣΔΑ προβλέπει το δικαίωμα </w:t>
      </w:r>
      <w:r w:rsidR="005769D9" w:rsidRPr="00003B01">
        <w:rPr>
          <w:sz w:val="28"/>
          <w:szCs w:val="28"/>
          <w:lang w:val="el-GR"/>
        </w:rPr>
        <w:t>σε</w:t>
      </w:r>
      <w:r w:rsidRPr="00003B01">
        <w:rPr>
          <w:sz w:val="28"/>
          <w:szCs w:val="28"/>
        </w:rPr>
        <w:t xml:space="preserve"> δίκαιη δίκη. </w:t>
      </w:r>
      <w:r w:rsidR="009369F3" w:rsidRPr="00003B01">
        <w:rPr>
          <w:sz w:val="28"/>
          <w:szCs w:val="28"/>
          <w:lang w:val="el-GR"/>
        </w:rPr>
        <w:t>Τ</w:t>
      </w:r>
      <w:r w:rsidRPr="00003B01">
        <w:rPr>
          <w:sz w:val="28"/>
          <w:szCs w:val="28"/>
        </w:rPr>
        <w:t xml:space="preserve">ο ΕΔΔΑ </w:t>
      </w:r>
      <w:r w:rsidR="005769D9" w:rsidRPr="00003B01">
        <w:rPr>
          <w:sz w:val="28"/>
          <w:szCs w:val="28"/>
          <w:lang w:val="el-GR"/>
        </w:rPr>
        <w:t xml:space="preserve">έχει </w:t>
      </w:r>
      <w:r w:rsidR="009369F3" w:rsidRPr="00003B01">
        <w:rPr>
          <w:sz w:val="28"/>
          <w:szCs w:val="28"/>
        </w:rPr>
        <w:t>επανειλημμέν</w:t>
      </w:r>
      <w:r w:rsidR="009369F3" w:rsidRPr="00003B01">
        <w:rPr>
          <w:sz w:val="28"/>
          <w:szCs w:val="28"/>
          <w:lang w:val="el-GR"/>
        </w:rPr>
        <w:t>α</w:t>
      </w:r>
      <w:r w:rsidR="009369F3" w:rsidRPr="00003B01">
        <w:rPr>
          <w:sz w:val="28"/>
          <w:szCs w:val="28"/>
        </w:rPr>
        <w:t xml:space="preserve"> </w:t>
      </w:r>
      <w:r w:rsidRPr="00003B01">
        <w:rPr>
          <w:sz w:val="28"/>
          <w:szCs w:val="28"/>
        </w:rPr>
        <w:t>διαπ</w:t>
      </w:r>
      <w:r w:rsidR="005769D9" w:rsidRPr="00003B01">
        <w:rPr>
          <w:sz w:val="28"/>
          <w:szCs w:val="28"/>
          <w:lang w:val="el-GR"/>
        </w:rPr>
        <w:t xml:space="preserve">ιστώσει ότι συνέτρεχε </w:t>
      </w:r>
      <w:r w:rsidRPr="00003B01">
        <w:rPr>
          <w:sz w:val="28"/>
          <w:szCs w:val="28"/>
        </w:rPr>
        <w:t xml:space="preserve">παράβαση </w:t>
      </w:r>
      <w:r w:rsidR="005769D9" w:rsidRPr="00003B01">
        <w:rPr>
          <w:sz w:val="28"/>
          <w:szCs w:val="28"/>
        </w:rPr>
        <w:t>το</w:t>
      </w:r>
      <w:r w:rsidR="005769D9" w:rsidRPr="00003B01">
        <w:rPr>
          <w:sz w:val="28"/>
          <w:szCs w:val="28"/>
          <w:lang w:val="el-GR"/>
        </w:rPr>
        <w:t>υ</w:t>
      </w:r>
      <w:r w:rsidR="005769D9" w:rsidRPr="00003B01">
        <w:rPr>
          <w:sz w:val="28"/>
          <w:szCs w:val="28"/>
        </w:rPr>
        <w:t xml:space="preserve"> άρθρο</w:t>
      </w:r>
      <w:r w:rsidR="005769D9" w:rsidRPr="00003B01">
        <w:rPr>
          <w:sz w:val="28"/>
          <w:szCs w:val="28"/>
          <w:lang w:val="el-GR"/>
        </w:rPr>
        <w:t>υ</w:t>
      </w:r>
      <w:r w:rsidR="005769D9" w:rsidRPr="00003B01">
        <w:rPr>
          <w:sz w:val="28"/>
          <w:szCs w:val="28"/>
        </w:rPr>
        <w:t> 6 της ΕΣΔΑ</w:t>
      </w:r>
      <w:r w:rsidRPr="00003B01">
        <w:rPr>
          <w:sz w:val="28"/>
          <w:szCs w:val="28"/>
        </w:rPr>
        <w:t xml:space="preserve"> </w:t>
      </w:r>
      <w:r w:rsidR="005769D9" w:rsidRPr="00003B01">
        <w:rPr>
          <w:sz w:val="28"/>
          <w:szCs w:val="28"/>
          <w:lang w:val="el-GR"/>
        </w:rPr>
        <w:t>για τον λόγο ότι</w:t>
      </w:r>
      <w:r w:rsidRPr="00003B01">
        <w:rPr>
          <w:sz w:val="28"/>
          <w:szCs w:val="28"/>
        </w:rPr>
        <w:t xml:space="preserve"> </w:t>
      </w:r>
      <w:r w:rsidR="00AD5075" w:rsidRPr="00003B01">
        <w:rPr>
          <w:sz w:val="28"/>
          <w:szCs w:val="28"/>
          <w:lang w:val="el-GR"/>
        </w:rPr>
        <w:t xml:space="preserve">ένα </w:t>
      </w:r>
      <w:r w:rsidRPr="00003B01">
        <w:rPr>
          <w:sz w:val="28"/>
          <w:szCs w:val="28"/>
        </w:rPr>
        <w:t xml:space="preserve">δικαστήριο </w:t>
      </w:r>
      <w:r w:rsidR="00AD5075" w:rsidRPr="00003B01">
        <w:rPr>
          <w:sz w:val="28"/>
          <w:szCs w:val="28"/>
          <w:lang w:val="el-GR"/>
        </w:rPr>
        <w:t xml:space="preserve">κράτος μέλους </w:t>
      </w:r>
      <w:r w:rsidRPr="00003B01">
        <w:rPr>
          <w:sz w:val="28"/>
          <w:szCs w:val="28"/>
        </w:rPr>
        <w:t xml:space="preserve">δεν </w:t>
      </w:r>
      <w:r w:rsidR="005769D9" w:rsidRPr="00003B01">
        <w:rPr>
          <w:sz w:val="28"/>
          <w:szCs w:val="28"/>
          <w:lang w:val="el-GR"/>
        </w:rPr>
        <w:t>είχε υποβάλει</w:t>
      </w:r>
      <w:r w:rsidRPr="00003B01">
        <w:rPr>
          <w:sz w:val="28"/>
          <w:szCs w:val="28"/>
        </w:rPr>
        <w:t xml:space="preserve"> στο Δικαστήριο αίτηση προδικαστικής αποφάσεως. Είναι ενδιαφέρον να σημειωθεί ότι </w:t>
      </w:r>
      <w:r w:rsidR="00AD5075" w:rsidRPr="00003B01">
        <w:rPr>
          <w:sz w:val="28"/>
          <w:szCs w:val="28"/>
          <w:lang w:val="el-GR"/>
        </w:rPr>
        <w:t xml:space="preserve">οι σχετικές </w:t>
      </w:r>
      <w:r w:rsidRPr="00003B01">
        <w:rPr>
          <w:sz w:val="28"/>
          <w:szCs w:val="28"/>
        </w:rPr>
        <w:t>αποφάσεις του ΕΔΔΑ</w:t>
      </w:r>
      <w:r w:rsidR="00E73BB3" w:rsidRPr="00003B01">
        <w:rPr>
          <w:sz w:val="28"/>
          <w:szCs w:val="28"/>
          <w:lang w:val="el-GR"/>
        </w:rPr>
        <w:t xml:space="preserve"> </w:t>
      </w:r>
      <w:r w:rsidR="00E73BB3" w:rsidRPr="00003B01">
        <w:rPr>
          <w:sz w:val="28"/>
          <w:szCs w:val="28"/>
        </w:rPr>
        <w:t>—</w:t>
      </w:r>
      <w:r w:rsidRPr="00003B01">
        <w:rPr>
          <w:sz w:val="28"/>
          <w:szCs w:val="28"/>
        </w:rPr>
        <w:t>όπως η</w:t>
      </w:r>
      <w:r w:rsidR="005769D9" w:rsidRPr="00003B01">
        <w:rPr>
          <w:sz w:val="28"/>
          <w:szCs w:val="28"/>
          <w:lang w:val="el-GR"/>
        </w:rPr>
        <w:t xml:space="preserve"> απόφαση</w:t>
      </w:r>
      <w:r w:rsidRPr="00003B01">
        <w:rPr>
          <w:sz w:val="28"/>
          <w:szCs w:val="28"/>
        </w:rPr>
        <w:t xml:space="preserve"> </w:t>
      </w:r>
      <w:r w:rsidRPr="00003B01">
        <w:rPr>
          <w:i/>
          <w:sz w:val="28"/>
          <w:szCs w:val="28"/>
        </w:rPr>
        <w:t>Dhahbi κατά Ιταλίας</w:t>
      </w:r>
      <w:r w:rsidRPr="00003B01">
        <w:rPr>
          <w:sz w:val="28"/>
          <w:szCs w:val="28"/>
        </w:rPr>
        <w:t xml:space="preserve"> ή</w:t>
      </w:r>
      <w:r w:rsidR="009369F3" w:rsidRPr="00003B01">
        <w:rPr>
          <w:sz w:val="28"/>
          <w:szCs w:val="28"/>
          <w:lang w:val="el-GR"/>
        </w:rPr>
        <w:t>,</w:t>
      </w:r>
      <w:r w:rsidRPr="00003B01">
        <w:rPr>
          <w:sz w:val="28"/>
          <w:szCs w:val="28"/>
        </w:rPr>
        <w:t xml:space="preserve"> πιο πρόσφατ</w:t>
      </w:r>
      <w:r w:rsidR="005769D9" w:rsidRPr="00003B01">
        <w:rPr>
          <w:sz w:val="28"/>
          <w:szCs w:val="28"/>
          <w:lang w:val="el-GR"/>
        </w:rPr>
        <w:t>α</w:t>
      </w:r>
      <w:r w:rsidR="009369F3" w:rsidRPr="00003B01">
        <w:rPr>
          <w:sz w:val="28"/>
          <w:szCs w:val="28"/>
          <w:lang w:val="el-GR"/>
        </w:rPr>
        <w:t>,</w:t>
      </w:r>
      <w:r w:rsidRPr="00003B01">
        <w:rPr>
          <w:sz w:val="28"/>
          <w:szCs w:val="28"/>
        </w:rPr>
        <w:t xml:space="preserve"> η</w:t>
      </w:r>
      <w:r w:rsidR="005769D9" w:rsidRPr="00003B01">
        <w:rPr>
          <w:sz w:val="28"/>
          <w:szCs w:val="28"/>
          <w:lang w:val="el-GR"/>
        </w:rPr>
        <w:t xml:space="preserve"> απόφαση</w:t>
      </w:r>
      <w:r w:rsidRPr="00003B01">
        <w:rPr>
          <w:sz w:val="28"/>
          <w:szCs w:val="28"/>
        </w:rPr>
        <w:t xml:space="preserve"> </w:t>
      </w:r>
      <w:r w:rsidRPr="00003B01">
        <w:rPr>
          <w:i/>
          <w:sz w:val="28"/>
          <w:szCs w:val="28"/>
        </w:rPr>
        <w:t>Sanofi Pasteur κατά Γαλλίας</w:t>
      </w:r>
      <w:r w:rsidR="005769D9" w:rsidRPr="00003B01">
        <w:rPr>
          <w:i/>
          <w:sz w:val="28"/>
          <w:szCs w:val="28"/>
          <w:lang w:val="el-GR"/>
        </w:rPr>
        <w:t>,</w:t>
      </w:r>
      <w:r w:rsidRPr="00003B01">
        <w:rPr>
          <w:sz w:val="28"/>
          <w:szCs w:val="28"/>
        </w:rPr>
        <w:t xml:space="preserve"> με τ</w:t>
      </w:r>
      <w:r w:rsidR="005769D9" w:rsidRPr="00003B01">
        <w:rPr>
          <w:sz w:val="28"/>
          <w:szCs w:val="28"/>
          <w:lang w:val="el-GR"/>
        </w:rPr>
        <w:t>ις</w:t>
      </w:r>
      <w:r w:rsidRPr="00003B01">
        <w:rPr>
          <w:sz w:val="28"/>
          <w:szCs w:val="28"/>
        </w:rPr>
        <w:t xml:space="preserve"> οποίες το ΕΔΔΑ έκρινε ότι το </w:t>
      </w:r>
      <w:r w:rsidR="005769D9" w:rsidRPr="00003B01">
        <w:rPr>
          <w:sz w:val="28"/>
          <w:szCs w:val="28"/>
          <w:lang w:val="el-GR"/>
        </w:rPr>
        <w:t xml:space="preserve">εθνικό </w:t>
      </w:r>
      <w:r w:rsidRPr="00003B01">
        <w:rPr>
          <w:sz w:val="28"/>
          <w:szCs w:val="28"/>
        </w:rPr>
        <w:t xml:space="preserve">δικαστήριο </w:t>
      </w:r>
      <w:r w:rsidR="005769D9" w:rsidRPr="00003B01">
        <w:rPr>
          <w:sz w:val="28"/>
          <w:szCs w:val="28"/>
          <w:lang w:val="el-GR"/>
        </w:rPr>
        <w:t xml:space="preserve">είχε παραλείψει να αναφέρει </w:t>
      </w:r>
      <w:r w:rsidRPr="00003B01">
        <w:rPr>
          <w:sz w:val="28"/>
          <w:szCs w:val="28"/>
        </w:rPr>
        <w:t xml:space="preserve">τους λόγους για τους οποίους </w:t>
      </w:r>
      <w:r w:rsidR="005769D9" w:rsidRPr="00003B01">
        <w:rPr>
          <w:sz w:val="28"/>
          <w:szCs w:val="28"/>
          <w:lang w:val="el-GR"/>
        </w:rPr>
        <w:t>θεωρούσε</w:t>
      </w:r>
      <w:r w:rsidRPr="00003B01">
        <w:rPr>
          <w:sz w:val="28"/>
          <w:szCs w:val="28"/>
        </w:rPr>
        <w:t xml:space="preserve"> ότι τα </w:t>
      </w:r>
      <w:r w:rsidR="005769D9" w:rsidRPr="00003B01">
        <w:rPr>
          <w:sz w:val="28"/>
          <w:szCs w:val="28"/>
          <w:lang w:val="el-GR"/>
        </w:rPr>
        <w:t>εγειρόμενα</w:t>
      </w:r>
      <w:r w:rsidRPr="00003B01">
        <w:rPr>
          <w:sz w:val="28"/>
          <w:szCs w:val="28"/>
        </w:rPr>
        <w:t xml:space="preserve"> ερωτήματα δεν </w:t>
      </w:r>
      <w:r w:rsidR="005769D9" w:rsidRPr="00003B01">
        <w:rPr>
          <w:sz w:val="28"/>
          <w:szCs w:val="28"/>
          <w:lang w:val="el-GR"/>
        </w:rPr>
        <w:t>χρειαζόταν</w:t>
      </w:r>
      <w:r w:rsidRPr="00003B01">
        <w:rPr>
          <w:sz w:val="28"/>
          <w:szCs w:val="28"/>
        </w:rPr>
        <w:t xml:space="preserve"> να υποβληθούν στο Δικαστήριο</w:t>
      </w:r>
      <w:r w:rsidR="005769D9" w:rsidRPr="00003B01">
        <w:rPr>
          <w:sz w:val="28"/>
          <w:szCs w:val="28"/>
        </w:rPr>
        <w:t>—</w:t>
      </w:r>
      <w:r w:rsidRPr="00003B01">
        <w:rPr>
          <w:sz w:val="28"/>
          <w:szCs w:val="28"/>
        </w:rPr>
        <w:t xml:space="preserve"> </w:t>
      </w:r>
      <w:r w:rsidR="00E73BB3" w:rsidRPr="00003B01">
        <w:rPr>
          <w:sz w:val="28"/>
          <w:szCs w:val="28"/>
          <w:lang w:val="el-GR"/>
        </w:rPr>
        <w:t>ενδέχεται</w:t>
      </w:r>
      <w:r w:rsidRPr="00003B01">
        <w:rPr>
          <w:sz w:val="28"/>
          <w:szCs w:val="28"/>
        </w:rPr>
        <w:t xml:space="preserve"> να καθοδ</w:t>
      </w:r>
      <w:r w:rsidR="00E73BB3" w:rsidRPr="00003B01">
        <w:rPr>
          <w:sz w:val="28"/>
          <w:szCs w:val="28"/>
          <w:lang w:val="el-GR"/>
        </w:rPr>
        <w:t xml:space="preserve">ήγησαν </w:t>
      </w:r>
      <w:r w:rsidRPr="00003B01">
        <w:rPr>
          <w:sz w:val="28"/>
          <w:szCs w:val="28"/>
        </w:rPr>
        <w:t xml:space="preserve">το Δικαστήριο </w:t>
      </w:r>
      <w:r w:rsidR="00E73BB3" w:rsidRPr="00003B01">
        <w:rPr>
          <w:sz w:val="28"/>
          <w:szCs w:val="28"/>
          <w:lang w:val="el-GR"/>
        </w:rPr>
        <w:t xml:space="preserve">ώστε </w:t>
      </w:r>
      <w:r w:rsidRPr="00003B01">
        <w:rPr>
          <w:sz w:val="28"/>
          <w:szCs w:val="28"/>
        </w:rPr>
        <w:t xml:space="preserve">να </w:t>
      </w:r>
      <w:r w:rsidR="00AD5075" w:rsidRPr="00003B01">
        <w:rPr>
          <w:sz w:val="28"/>
          <w:szCs w:val="28"/>
          <w:lang w:val="el-GR"/>
        </w:rPr>
        <w:t>αποσαφηνίσει διεξοδικότερα</w:t>
      </w:r>
      <w:r w:rsidRPr="00003B01">
        <w:rPr>
          <w:sz w:val="28"/>
          <w:szCs w:val="28"/>
        </w:rPr>
        <w:t xml:space="preserve"> τις </w:t>
      </w:r>
      <w:r w:rsidR="009369F3" w:rsidRPr="00003B01">
        <w:rPr>
          <w:sz w:val="28"/>
          <w:szCs w:val="28"/>
          <w:lang w:val="el-GR"/>
        </w:rPr>
        <w:t>ενέργειες που αναμένονται από</w:t>
      </w:r>
      <w:r w:rsidRPr="00003B01">
        <w:rPr>
          <w:sz w:val="28"/>
          <w:szCs w:val="28"/>
        </w:rPr>
        <w:t xml:space="preserve"> τα εθνικά δικαστήρια τελευταίου βαθμού. </w:t>
      </w:r>
    </w:p>
    <w:p w14:paraId="49B156BB" w14:textId="474F3717" w:rsidR="00B8663A" w:rsidRPr="00003B01" w:rsidRDefault="00FD6843">
      <w:pPr>
        <w:pStyle w:val="P68B1DB1-Normal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003B01">
        <w:rPr>
          <w:sz w:val="28"/>
          <w:szCs w:val="28"/>
        </w:rPr>
        <w:t xml:space="preserve">Υπό το πρίσμα αυτών ακριβώς των σκέψεων θα </w:t>
      </w:r>
      <w:r w:rsidR="00C12183" w:rsidRPr="00003B01">
        <w:rPr>
          <w:sz w:val="28"/>
          <w:szCs w:val="28"/>
          <w:lang w:val="el-GR"/>
        </w:rPr>
        <w:t>ολοκληρώσω τη σημερινή μου παρέμβαση</w:t>
      </w:r>
      <w:r w:rsidRPr="00003B01">
        <w:rPr>
          <w:sz w:val="28"/>
          <w:szCs w:val="28"/>
        </w:rPr>
        <w:t xml:space="preserve">. Στο πνεύμα της </w:t>
      </w:r>
      <w:r w:rsidR="00C12183" w:rsidRPr="00003B01">
        <w:rPr>
          <w:sz w:val="28"/>
          <w:szCs w:val="28"/>
          <w:lang w:val="el-GR"/>
        </w:rPr>
        <w:t>εποικοδομητ</w:t>
      </w:r>
      <w:r w:rsidRPr="00003B01">
        <w:rPr>
          <w:sz w:val="28"/>
          <w:szCs w:val="28"/>
        </w:rPr>
        <w:t>ικής συνεργασίας και τ</w:t>
      </w:r>
      <w:r w:rsidR="00C12183" w:rsidRPr="00003B01">
        <w:rPr>
          <w:sz w:val="28"/>
          <w:szCs w:val="28"/>
          <w:lang w:val="el-GR"/>
        </w:rPr>
        <w:t>ης</w:t>
      </w:r>
      <w:r w:rsidRPr="00003B01">
        <w:rPr>
          <w:sz w:val="28"/>
          <w:szCs w:val="28"/>
        </w:rPr>
        <w:t xml:space="preserve"> στεν</w:t>
      </w:r>
      <w:r w:rsidR="00C12183" w:rsidRPr="00003B01">
        <w:rPr>
          <w:sz w:val="28"/>
          <w:szCs w:val="28"/>
          <w:lang w:val="el-GR"/>
        </w:rPr>
        <w:t>ής</w:t>
      </w:r>
      <w:r w:rsidRPr="00003B01">
        <w:rPr>
          <w:sz w:val="28"/>
          <w:szCs w:val="28"/>
        </w:rPr>
        <w:t xml:space="preserve"> δικαστικ</w:t>
      </w:r>
      <w:r w:rsidR="00C12183" w:rsidRPr="00003B01">
        <w:rPr>
          <w:sz w:val="28"/>
          <w:szCs w:val="28"/>
          <w:lang w:val="el-GR"/>
        </w:rPr>
        <w:t>ής</w:t>
      </w:r>
      <w:r w:rsidRPr="00003B01">
        <w:rPr>
          <w:sz w:val="28"/>
          <w:szCs w:val="28"/>
        </w:rPr>
        <w:t xml:space="preserve"> </w:t>
      </w:r>
      <w:r w:rsidR="00C12183" w:rsidRPr="00003B01">
        <w:rPr>
          <w:sz w:val="28"/>
          <w:szCs w:val="28"/>
          <w:lang w:val="el-GR"/>
        </w:rPr>
        <w:t>συνεργασίας</w:t>
      </w:r>
      <w:r w:rsidRPr="00003B01">
        <w:rPr>
          <w:sz w:val="28"/>
          <w:szCs w:val="28"/>
        </w:rPr>
        <w:t xml:space="preserve">, </w:t>
      </w:r>
      <w:r w:rsidR="00C12183" w:rsidRPr="00003B01">
        <w:rPr>
          <w:sz w:val="28"/>
          <w:szCs w:val="28"/>
          <w:lang w:val="el-GR"/>
        </w:rPr>
        <w:t xml:space="preserve">επιτρέψτε μου να </w:t>
      </w:r>
      <w:r w:rsidR="002920FF" w:rsidRPr="00003B01">
        <w:rPr>
          <w:sz w:val="28"/>
          <w:szCs w:val="28"/>
          <w:lang w:val="el-GR"/>
        </w:rPr>
        <w:t>επανέλθω</w:t>
      </w:r>
      <w:r w:rsidR="00C12183" w:rsidRPr="00003B01">
        <w:rPr>
          <w:sz w:val="28"/>
          <w:szCs w:val="28"/>
          <w:lang w:val="el-GR"/>
        </w:rPr>
        <w:t xml:space="preserve"> </w:t>
      </w:r>
      <w:r w:rsidR="002920FF" w:rsidRPr="00003B01">
        <w:rPr>
          <w:sz w:val="28"/>
          <w:szCs w:val="28"/>
          <w:lang w:val="el-GR"/>
        </w:rPr>
        <w:t>σ</w:t>
      </w:r>
      <w:r w:rsidR="00C12183" w:rsidRPr="00003B01">
        <w:rPr>
          <w:sz w:val="28"/>
          <w:szCs w:val="28"/>
          <w:lang w:val="el-GR"/>
        </w:rPr>
        <w:t>το κεντρικό θέμα της ομιλίας μου</w:t>
      </w:r>
      <w:r w:rsidRPr="00003B01">
        <w:rPr>
          <w:sz w:val="28"/>
          <w:szCs w:val="28"/>
        </w:rPr>
        <w:t xml:space="preserve">. </w:t>
      </w:r>
      <w:r w:rsidR="002920FF" w:rsidRPr="00003B01">
        <w:rPr>
          <w:sz w:val="28"/>
          <w:szCs w:val="28"/>
          <w:lang w:val="el-GR"/>
        </w:rPr>
        <w:t>Στ</w:t>
      </w:r>
      <w:r w:rsidRPr="00003B01">
        <w:rPr>
          <w:sz w:val="28"/>
          <w:szCs w:val="28"/>
        </w:rPr>
        <w:t xml:space="preserve">ο Δικαστήριο </w:t>
      </w:r>
      <w:r w:rsidR="002920FF" w:rsidRPr="00003B01">
        <w:rPr>
          <w:sz w:val="28"/>
          <w:szCs w:val="28"/>
          <w:lang w:val="el-GR"/>
        </w:rPr>
        <w:t>της Ευρωπαϊκής Ένωσης έχει ανατεθεί ένα εξέχον δικαιοδοτικό καθήκον το οποίο</w:t>
      </w:r>
      <w:r w:rsidRPr="00003B01">
        <w:rPr>
          <w:sz w:val="28"/>
          <w:szCs w:val="28"/>
        </w:rPr>
        <w:t xml:space="preserve"> ασκεί παράλληλα με άλλα δικαιοδοτικά όργανα, συμπεριλαμβανομένων των </w:t>
      </w:r>
      <w:r w:rsidR="00F55470" w:rsidRPr="00003B01">
        <w:rPr>
          <w:sz w:val="28"/>
          <w:szCs w:val="28"/>
          <w:lang w:val="el-GR"/>
        </w:rPr>
        <w:t xml:space="preserve">ανωτάτων </w:t>
      </w:r>
      <w:r w:rsidRPr="00003B01">
        <w:rPr>
          <w:sz w:val="28"/>
          <w:szCs w:val="28"/>
        </w:rPr>
        <w:t>δικαστηρίων των κρατών μελών. Ωστόσο, η ικανότητ</w:t>
      </w:r>
      <w:r w:rsidR="00F55470" w:rsidRPr="00003B01">
        <w:rPr>
          <w:sz w:val="28"/>
          <w:szCs w:val="28"/>
          <w:lang w:val="el-GR"/>
        </w:rPr>
        <w:t>α</w:t>
      </w:r>
      <w:r w:rsidRPr="00003B01">
        <w:rPr>
          <w:sz w:val="28"/>
          <w:szCs w:val="28"/>
        </w:rPr>
        <w:t xml:space="preserve"> του </w:t>
      </w:r>
      <w:r w:rsidR="00F55470" w:rsidRPr="00003B01">
        <w:rPr>
          <w:sz w:val="28"/>
          <w:szCs w:val="28"/>
          <w:lang w:val="el-GR"/>
        </w:rPr>
        <w:t xml:space="preserve">Δικαστηρίου </w:t>
      </w:r>
      <w:r w:rsidRPr="00003B01">
        <w:rPr>
          <w:sz w:val="28"/>
          <w:szCs w:val="28"/>
          <w:shd w:val="clear" w:color="auto" w:fill="FFFFFF"/>
        </w:rPr>
        <w:t>να διασφαλί</w:t>
      </w:r>
      <w:r w:rsidR="00F55470" w:rsidRPr="00003B01">
        <w:rPr>
          <w:sz w:val="28"/>
          <w:szCs w:val="28"/>
          <w:shd w:val="clear" w:color="auto" w:fill="FFFFFF"/>
          <w:lang w:val="el-GR"/>
        </w:rPr>
        <w:t>ζ</w:t>
      </w:r>
      <w:r w:rsidRPr="00003B01">
        <w:rPr>
          <w:sz w:val="28"/>
          <w:szCs w:val="28"/>
          <w:shd w:val="clear" w:color="auto" w:fill="FFFFFF"/>
        </w:rPr>
        <w:t>ει την τήρηση του δικαίου κατά την ερμηνεία και την εφαρμογή των Συνθηκών στηρίζεται</w:t>
      </w:r>
      <w:r w:rsidR="00F55470" w:rsidRPr="00003B01">
        <w:rPr>
          <w:sz w:val="28"/>
          <w:szCs w:val="28"/>
          <w:shd w:val="clear" w:color="auto" w:fill="FFFFFF"/>
          <w:lang w:val="el-GR"/>
        </w:rPr>
        <w:t xml:space="preserve"> ιδίως</w:t>
      </w:r>
      <w:r w:rsidRPr="00003B01">
        <w:rPr>
          <w:sz w:val="28"/>
          <w:szCs w:val="28"/>
          <w:shd w:val="clear" w:color="auto" w:fill="FFFFFF"/>
        </w:rPr>
        <w:t xml:space="preserve"> στις σχέσεις του με τα εθνικά δικαστήρια. </w:t>
      </w:r>
      <w:r w:rsidR="00F55470" w:rsidRPr="00003B01">
        <w:rPr>
          <w:sz w:val="28"/>
          <w:szCs w:val="28"/>
          <w:shd w:val="clear" w:color="auto" w:fill="FFFFFF"/>
          <w:lang w:val="el-GR"/>
        </w:rPr>
        <w:t>Γνωρίζουμε</w:t>
      </w:r>
      <w:r w:rsidR="00873104" w:rsidRPr="00003B01">
        <w:rPr>
          <w:sz w:val="28"/>
          <w:szCs w:val="28"/>
          <w:shd w:val="clear" w:color="auto" w:fill="FFFFFF"/>
          <w:lang w:val="el-GR"/>
        </w:rPr>
        <w:t xml:space="preserve"> όλοι </w:t>
      </w:r>
      <w:r w:rsidR="00F55470" w:rsidRPr="00003B01">
        <w:rPr>
          <w:sz w:val="28"/>
          <w:szCs w:val="28"/>
          <w:shd w:val="clear" w:color="auto" w:fill="FFFFFF"/>
          <w:lang w:val="el-GR"/>
        </w:rPr>
        <w:t xml:space="preserve">πολύ </w:t>
      </w:r>
      <w:r w:rsidR="00873104" w:rsidRPr="00003B01">
        <w:rPr>
          <w:sz w:val="28"/>
          <w:szCs w:val="28"/>
          <w:shd w:val="clear" w:color="auto" w:fill="FFFFFF"/>
          <w:lang w:val="el-GR"/>
        </w:rPr>
        <w:t xml:space="preserve">καλά </w:t>
      </w:r>
      <w:r w:rsidR="00F55470" w:rsidRPr="00003B01">
        <w:rPr>
          <w:sz w:val="28"/>
          <w:szCs w:val="28"/>
          <w:shd w:val="clear" w:color="auto" w:fill="FFFFFF"/>
          <w:lang w:val="el-GR"/>
        </w:rPr>
        <w:t>το αξίωμα</w:t>
      </w:r>
      <w:r w:rsidR="00873104" w:rsidRPr="00003B01">
        <w:rPr>
          <w:sz w:val="28"/>
          <w:szCs w:val="28"/>
          <w:shd w:val="clear" w:color="auto" w:fill="FFFFFF"/>
          <w:lang w:val="el-GR"/>
        </w:rPr>
        <w:t xml:space="preserve"> «Η ισχύς εν τη ενώσει». </w:t>
      </w:r>
      <w:r w:rsidR="005829A6" w:rsidRPr="00003B01">
        <w:rPr>
          <w:sz w:val="28"/>
          <w:szCs w:val="28"/>
          <w:shd w:val="clear" w:color="auto" w:fill="FFFFFF"/>
          <w:lang w:val="el-GR"/>
        </w:rPr>
        <w:t>Η</w:t>
      </w:r>
      <w:r w:rsidRPr="00003B01">
        <w:rPr>
          <w:sz w:val="28"/>
          <w:szCs w:val="28"/>
          <w:shd w:val="clear" w:color="auto" w:fill="FFFFFF"/>
        </w:rPr>
        <w:t xml:space="preserve"> προδικαστική διαδικασία αποτελεί</w:t>
      </w:r>
      <w:r w:rsidR="005829A6" w:rsidRPr="00003B01">
        <w:rPr>
          <w:sz w:val="28"/>
          <w:szCs w:val="28"/>
          <w:shd w:val="clear" w:color="auto" w:fill="FFFFFF"/>
          <w:lang w:val="el-GR"/>
        </w:rPr>
        <w:t>, στο πλαίσιο αυτό,</w:t>
      </w:r>
      <w:r w:rsidRPr="00003B01">
        <w:rPr>
          <w:sz w:val="28"/>
          <w:szCs w:val="28"/>
          <w:shd w:val="clear" w:color="auto" w:fill="FFFFFF"/>
        </w:rPr>
        <w:t xml:space="preserve"> τη</w:t>
      </w:r>
      <w:r w:rsidR="005829A6" w:rsidRPr="00003B01">
        <w:rPr>
          <w:sz w:val="28"/>
          <w:szCs w:val="28"/>
          <w:shd w:val="clear" w:color="auto" w:fill="FFFFFF"/>
          <w:lang w:val="el-GR"/>
        </w:rPr>
        <w:t>ν</w:t>
      </w:r>
      <w:r w:rsidRPr="00003B01">
        <w:rPr>
          <w:sz w:val="28"/>
          <w:szCs w:val="28"/>
          <w:shd w:val="clear" w:color="auto" w:fill="FFFFFF"/>
        </w:rPr>
        <w:t xml:space="preserve"> </w:t>
      </w:r>
      <w:r w:rsidR="005829A6" w:rsidRPr="00003B01">
        <w:rPr>
          <w:sz w:val="28"/>
          <w:szCs w:val="28"/>
          <w:shd w:val="clear" w:color="auto" w:fill="FFFFFF"/>
          <w:lang w:val="el-GR"/>
        </w:rPr>
        <w:t>κατεξοχήν</w:t>
      </w:r>
      <w:r w:rsidRPr="00003B01">
        <w:rPr>
          <w:sz w:val="28"/>
          <w:szCs w:val="28"/>
          <w:shd w:val="clear" w:color="auto" w:fill="FFFFFF"/>
        </w:rPr>
        <w:t xml:space="preserve"> </w:t>
      </w:r>
      <w:r w:rsidR="005829A6" w:rsidRPr="00003B01">
        <w:rPr>
          <w:sz w:val="28"/>
          <w:szCs w:val="28"/>
          <w:shd w:val="clear" w:color="auto" w:fill="FFFFFF"/>
          <w:lang w:val="el-GR"/>
        </w:rPr>
        <w:t>γέφυρα</w:t>
      </w:r>
      <w:r w:rsidRPr="00003B01">
        <w:rPr>
          <w:sz w:val="28"/>
          <w:szCs w:val="28"/>
          <w:shd w:val="clear" w:color="auto" w:fill="FFFFFF"/>
        </w:rPr>
        <w:t xml:space="preserve"> </w:t>
      </w:r>
      <w:r w:rsidR="00351C35" w:rsidRPr="00003B01">
        <w:rPr>
          <w:sz w:val="28"/>
          <w:szCs w:val="28"/>
          <w:shd w:val="clear" w:color="auto" w:fill="FFFFFF"/>
          <w:lang w:val="el-GR"/>
        </w:rPr>
        <w:t xml:space="preserve">που καθιστά δυνατή την </w:t>
      </w:r>
      <w:r w:rsidRPr="00003B01">
        <w:rPr>
          <w:sz w:val="28"/>
          <w:szCs w:val="28"/>
          <w:shd w:val="clear" w:color="auto" w:fill="FFFFFF"/>
        </w:rPr>
        <w:t xml:space="preserve">αποτελεσματική δικαστική </w:t>
      </w:r>
      <w:r w:rsidR="005829A6" w:rsidRPr="00003B01">
        <w:rPr>
          <w:sz w:val="28"/>
          <w:szCs w:val="28"/>
          <w:shd w:val="clear" w:color="auto" w:fill="FFFFFF"/>
          <w:lang w:val="el-GR"/>
        </w:rPr>
        <w:t>συνεργασία</w:t>
      </w:r>
      <w:r w:rsidR="00815DDC" w:rsidRPr="00003B01">
        <w:rPr>
          <w:sz w:val="28"/>
          <w:szCs w:val="28"/>
          <w:shd w:val="clear" w:color="auto" w:fill="FFFFFF"/>
          <w:lang w:val="el-GR"/>
        </w:rPr>
        <w:t xml:space="preserve">· </w:t>
      </w:r>
      <w:r w:rsidR="00351C35" w:rsidRPr="00003B01">
        <w:rPr>
          <w:sz w:val="28"/>
          <w:szCs w:val="28"/>
          <w:shd w:val="clear" w:color="auto" w:fill="FFFFFF"/>
          <w:lang w:val="el-GR"/>
        </w:rPr>
        <w:t>η</w:t>
      </w:r>
      <w:r w:rsidR="005776A3" w:rsidRPr="00003B01">
        <w:rPr>
          <w:sz w:val="28"/>
          <w:szCs w:val="28"/>
          <w:shd w:val="clear" w:color="auto" w:fill="FFFFFF"/>
          <w:lang w:val="el-GR"/>
        </w:rPr>
        <w:t xml:space="preserve"> συνεργασία </w:t>
      </w:r>
      <w:r w:rsidR="00FA5E15" w:rsidRPr="00003B01">
        <w:rPr>
          <w:sz w:val="28"/>
          <w:szCs w:val="28"/>
          <w:shd w:val="clear" w:color="auto" w:fill="FFFFFF"/>
          <w:lang w:val="el-GR"/>
        </w:rPr>
        <w:t xml:space="preserve">αυτή </w:t>
      </w:r>
      <w:r w:rsidRPr="00003B01">
        <w:rPr>
          <w:sz w:val="28"/>
          <w:szCs w:val="28"/>
          <w:shd w:val="clear" w:color="auto" w:fill="FFFFFF"/>
        </w:rPr>
        <w:t>όχι μόνο</w:t>
      </w:r>
      <w:r w:rsidR="005776A3" w:rsidRPr="00003B01">
        <w:rPr>
          <w:sz w:val="28"/>
          <w:szCs w:val="28"/>
          <w:shd w:val="clear" w:color="auto" w:fill="FFFFFF"/>
          <w:lang w:val="el-GR"/>
        </w:rPr>
        <w:t>ν</w:t>
      </w:r>
      <w:r w:rsidRPr="00003B01">
        <w:rPr>
          <w:sz w:val="28"/>
          <w:szCs w:val="28"/>
          <w:shd w:val="clear" w:color="auto" w:fill="FFFFFF"/>
        </w:rPr>
        <w:t xml:space="preserve"> </w:t>
      </w:r>
      <w:r w:rsidR="00FA5E15" w:rsidRPr="00003B01">
        <w:rPr>
          <w:sz w:val="28"/>
          <w:szCs w:val="28"/>
          <w:shd w:val="clear" w:color="auto" w:fill="FFFFFF"/>
          <w:lang w:val="el-GR"/>
        </w:rPr>
        <w:t xml:space="preserve">βοηθά </w:t>
      </w:r>
      <w:r w:rsidRPr="00003B01">
        <w:rPr>
          <w:sz w:val="28"/>
          <w:szCs w:val="28"/>
          <w:shd w:val="clear" w:color="auto" w:fill="FFFFFF"/>
        </w:rPr>
        <w:t xml:space="preserve">τα εθνικά δικαστήρια </w:t>
      </w:r>
      <w:r w:rsidR="005776A3" w:rsidRPr="00003B01">
        <w:rPr>
          <w:sz w:val="28"/>
          <w:szCs w:val="28"/>
          <w:shd w:val="clear" w:color="auto" w:fill="FFFFFF"/>
          <w:lang w:val="el-GR"/>
        </w:rPr>
        <w:t xml:space="preserve">να </w:t>
      </w:r>
      <w:r w:rsidR="00FA5E15" w:rsidRPr="00003B01">
        <w:rPr>
          <w:sz w:val="28"/>
          <w:szCs w:val="28"/>
          <w:shd w:val="clear" w:color="auto" w:fill="FFFFFF"/>
          <w:lang w:val="el-GR"/>
        </w:rPr>
        <w:t>υπερβαίνουν</w:t>
      </w:r>
      <w:r w:rsidR="005776A3" w:rsidRPr="00003B01">
        <w:rPr>
          <w:sz w:val="28"/>
          <w:szCs w:val="28"/>
          <w:shd w:val="clear" w:color="auto" w:fill="FFFFFF"/>
          <w:lang w:val="el-GR"/>
        </w:rPr>
        <w:t xml:space="preserve"> τυχόν δυσχέρειες κατά </w:t>
      </w:r>
      <w:r w:rsidRPr="00003B01">
        <w:rPr>
          <w:sz w:val="28"/>
          <w:szCs w:val="28"/>
          <w:shd w:val="clear" w:color="auto" w:fill="FFFFFF"/>
        </w:rPr>
        <w:t xml:space="preserve">την </w:t>
      </w:r>
      <w:r w:rsidR="00FA5E15" w:rsidRPr="00003B01">
        <w:rPr>
          <w:sz w:val="28"/>
          <w:szCs w:val="28"/>
          <w:shd w:val="clear" w:color="auto" w:fill="FFFFFF"/>
          <w:lang w:val="el-GR"/>
        </w:rPr>
        <w:t>επιδίωξη</w:t>
      </w:r>
      <w:r w:rsidRPr="00003B01">
        <w:rPr>
          <w:sz w:val="28"/>
          <w:szCs w:val="28"/>
          <w:shd w:val="clear" w:color="auto" w:fill="FFFFFF"/>
        </w:rPr>
        <w:t xml:space="preserve"> της πλήρους αποτελεσματικότητας του δικαίου </w:t>
      </w:r>
      <w:r w:rsidRPr="00003B01">
        <w:rPr>
          <w:sz w:val="28"/>
          <w:szCs w:val="28"/>
        </w:rPr>
        <w:t xml:space="preserve">της Ένωσης, αλλά συμβάλλει επίσης στη διασφάλιση της εύρυθμης λειτουργίας </w:t>
      </w:r>
      <w:r w:rsidR="00351C35" w:rsidRPr="00003B01">
        <w:rPr>
          <w:sz w:val="28"/>
          <w:szCs w:val="28"/>
          <w:lang w:val="el-GR"/>
        </w:rPr>
        <w:t>των</w:t>
      </w:r>
      <w:r w:rsidRPr="00003B01">
        <w:rPr>
          <w:sz w:val="28"/>
          <w:szCs w:val="28"/>
        </w:rPr>
        <w:t xml:space="preserve"> </w:t>
      </w:r>
      <w:r w:rsidR="00351C35" w:rsidRPr="00003B01">
        <w:rPr>
          <w:sz w:val="28"/>
          <w:szCs w:val="28"/>
          <w:lang w:val="el-GR"/>
        </w:rPr>
        <w:t xml:space="preserve">εθνικών </w:t>
      </w:r>
      <w:r w:rsidRPr="00003B01">
        <w:rPr>
          <w:sz w:val="28"/>
          <w:szCs w:val="28"/>
        </w:rPr>
        <w:t>νομικ</w:t>
      </w:r>
      <w:r w:rsidR="00351C35" w:rsidRPr="00003B01">
        <w:rPr>
          <w:sz w:val="28"/>
          <w:szCs w:val="28"/>
          <w:lang w:val="el-GR"/>
        </w:rPr>
        <w:t>ών</w:t>
      </w:r>
      <w:r w:rsidRPr="00003B01">
        <w:rPr>
          <w:sz w:val="28"/>
          <w:szCs w:val="28"/>
        </w:rPr>
        <w:t xml:space="preserve"> συστ</w:t>
      </w:r>
      <w:r w:rsidR="00351C35" w:rsidRPr="00003B01">
        <w:rPr>
          <w:sz w:val="28"/>
          <w:szCs w:val="28"/>
          <w:lang w:val="el-GR"/>
        </w:rPr>
        <w:t>ημάτων</w:t>
      </w:r>
      <w:r w:rsidRPr="00003B01">
        <w:rPr>
          <w:sz w:val="28"/>
          <w:szCs w:val="28"/>
        </w:rPr>
        <w:t xml:space="preserve">. </w:t>
      </w:r>
      <w:r w:rsidR="00D065F8" w:rsidRPr="00003B01">
        <w:rPr>
          <w:sz w:val="28"/>
          <w:szCs w:val="28"/>
          <w:lang w:val="el-GR"/>
        </w:rPr>
        <w:t>Πρόκειται εν τέλει για τη</w:t>
      </w:r>
      <w:r w:rsidRPr="00003B01">
        <w:rPr>
          <w:sz w:val="28"/>
          <w:szCs w:val="28"/>
        </w:rPr>
        <w:t xml:space="preserve"> γέφυρα επί της οποίας </w:t>
      </w:r>
      <w:r w:rsidR="00D065F8" w:rsidRPr="00003B01">
        <w:rPr>
          <w:sz w:val="28"/>
          <w:szCs w:val="28"/>
          <w:lang w:val="el-GR"/>
        </w:rPr>
        <w:t>σφυρηλατείται</w:t>
      </w:r>
      <w:r w:rsidR="003362EE" w:rsidRPr="00003B01">
        <w:rPr>
          <w:sz w:val="28"/>
          <w:szCs w:val="28"/>
          <w:lang w:val="el-GR"/>
        </w:rPr>
        <w:t>,</w:t>
      </w:r>
      <w:r w:rsidR="00D065F8" w:rsidRPr="00003B01">
        <w:rPr>
          <w:sz w:val="28"/>
          <w:szCs w:val="28"/>
          <w:lang w:val="el-GR"/>
        </w:rPr>
        <w:t xml:space="preserve"> πραγματώνεται </w:t>
      </w:r>
      <w:r w:rsidR="003362EE" w:rsidRPr="00003B01">
        <w:rPr>
          <w:sz w:val="28"/>
          <w:szCs w:val="28"/>
          <w:lang w:val="el-GR"/>
        </w:rPr>
        <w:t xml:space="preserve">και ενδυναμώνεται </w:t>
      </w:r>
      <w:r w:rsidRPr="00003B01">
        <w:rPr>
          <w:sz w:val="28"/>
          <w:szCs w:val="28"/>
        </w:rPr>
        <w:t xml:space="preserve">η «ισχύς </w:t>
      </w:r>
      <w:r w:rsidR="00D065F8" w:rsidRPr="00003B01">
        <w:rPr>
          <w:sz w:val="28"/>
          <w:szCs w:val="28"/>
          <w:lang w:val="el-GR"/>
        </w:rPr>
        <w:t>εν τη ενώσει</w:t>
      </w:r>
      <w:r w:rsidR="00873104" w:rsidRPr="00003B01">
        <w:rPr>
          <w:sz w:val="28"/>
          <w:szCs w:val="28"/>
        </w:rPr>
        <w:t>»</w:t>
      </w:r>
      <w:r w:rsidRPr="00003B01">
        <w:rPr>
          <w:sz w:val="28"/>
          <w:szCs w:val="28"/>
        </w:rPr>
        <w:t xml:space="preserve">. </w:t>
      </w:r>
    </w:p>
    <w:p w14:paraId="33590DE4" w14:textId="77777777" w:rsidR="00B8663A" w:rsidRPr="00003B01" w:rsidRDefault="00B866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76A204" w14:textId="77777777" w:rsidR="00B8663A" w:rsidRPr="00003B01" w:rsidRDefault="00B8663A">
      <w:pPr>
        <w:rPr>
          <w:sz w:val="28"/>
          <w:szCs w:val="28"/>
        </w:rPr>
      </w:pPr>
    </w:p>
    <w:sectPr w:rsidR="00B8663A" w:rsidRPr="00003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2D613" w14:textId="77777777" w:rsidR="00D15A4E" w:rsidRDefault="00D15A4E">
      <w:pPr>
        <w:spacing w:after="0" w:line="240" w:lineRule="auto"/>
      </w:pPr>
      <w:r>
        <w:separator/>
      </w:r>
    </w:p>
  </w:endnote>
  <w:endnote w:type="continuationSeparator" w:id="0">
    <w:p w14:paraId="7AEEE9F8" w14:textId="77777777" w:rsidR="00D15A4E" w:rsidRDefault="00D1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2D529" w14:textId="77777777" w:rsidR="00D15A4E" w:rsidRDefault="00D15A4E">
      <w:pPr>
        <w:spacing w:after="0" w:line="240" w:lineRule="auto"/>
      </w:pPr>
      <w:r>
        <w:separator/>
      </w:r>
    </w:p>
  </w:footnote>
  <w:footnote w:type="continuationSeparator" w:id="0">
    <w:p w14:paraId="729496A3" w14:textId="77777777" w:rsidR="00D15A4E" w:rsidRDefault="00D15A4E">
      <w:pPr>
        <w:spacing w:after="0" w:line="240" w:lineRule="auto"/>
      </w:pPr>
      <w:r>
        <w:continuationSeparator/>
      </w:r>
    </w:p>
  </w:footnote>
  <w:footnote w:id="1">
    <w:p w14:paraId="17798B2C" w14:textId="4D2F2356" w:rsidR="00B8663A" w:rsidRDefault="0045625F">
      <w:pPr>
        <w:pStyle w:val="FootnoteText"/>
        <w:spacing w:before="120" w:after="1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  <w:lang w:val="el-GR"/>
        </w:rPr>
        <w:t>(</w:t>
      </w:r>
      <w:r w:rsidR="00FD6843">
        <w:rPr>
          <w:rStyle w:val="FootnoteReference"/>
          <w:rFonts w:ascii="Times New Roman" w:hAnsi="Times New Roman" w:cs="Times New Roman"/>
        </w:rPr>
        <w:sym w:font="Symbol" w:char="F02A"/>
      </w:r>
      <w:r>
        <w:rPr>
          <w:rStyle w:val="FootnoteReference"/>
          <w:rFonts w:ascii="Times New Roman" w:hAnsi="Times New Roman" w:cs="Times New Roman"/>
          <w:lang w:val="el-GR"/>
        </w:rPr>
        <w:t xml:space="preserve">) </w:t>
      </w:r>
      <w:r>
        <w:rPr>
          <w:rFonts w:ascii="Times New Roman" w:hAnsi="Times New Roman" w:cs="Times New Roman"/>
          <w:lang w:val="el-GR"/>
        </w:rPr>
        <w:t>Γ</w:t>
      </w:r>
      <w:r w:rsidR="00FD6843">
        <w:rPr>
          <w:rFonts w:ascii="Times New Roman" w:hAnsi="Times New Roman" w:cs="Times New Roman"/>
        </w:rPr>
        <w:t xml:space="preserve">ενικός εισαγγελέας στο Δικαστήριο της Ευρωπαϊκής Ένωσης. Οι απόψεις </w:t>
      </w:r>
      <w:r>
        <w:rPr>
          <w:rFonts w:ascii="Times New Roman" w:hAnsi="Times New Roman" w:cs="Times New Roman"/>
          <w:lang w:val="el-GR"/>
        </w:rPr>
        <w:t xml:space="preserve">και θέσεις </w:t>
      </w:r>
      <w:r w:rsidR="00FD6843">
        <w:rPr>
          <w:rFonts w:ascii="Times New Roman" w:hAnsi="Times New Roman" w:cs="Times New Roman"/>
        </w:rPr>
        <w:t xml:space="preserve">που </w:t>
      </w:r>
      <w:r>
        <w:rPr>
          <w:rFonts w:ascii="Times New Roman" w:hAnsi="Times New Roman" w:cs="Times New Roman"/>
          <w:lang w:val="el-GR"/>
        </w:rPr>
        <w:t>διατυπών</w:t>
      </w:r>
      <w:r w:rsidR="00FD6843">
        <w:rPr>
          <w:rFonts w:ascii="Times New Roman" w:hAnsi="Times New Roman" w:cs="Times New Roman"/>
        </w:rPr>
        <w:t>ονται στ</w:t>
      </w:r>
      <w:r w:rsidR="00672AFF">
        <w:rPr>
          <w:rFonts w:ascii="Times New Roman" w:hAnsi="Times New Roman" w:cs="Times New Roman"/>
          <w:lang w:val="el-GR"/>
        </w:rPr>
        <w:t>ο</w:t>
      </w:r>
      <w:r>
        <w:rPr>
          <w:rFonts w:ascii="Times New Roman" w:hAnsi="Times New Roman" w:cs="Times New Roman"/>
          <w:lang w:val="el-GR"/>
        </w:rPr>
        <w:t xml:space="preserve"> </w:t>
      </w:r>
      <w:r w:rsidR="00672AFF">
        <w:rPr>
          <w:rFonts w:ascii="Times New Roman" w:hAnsi="Times New Roman" w:cs="Times New Roman"/>
          <w:lang w:val="el-GR"/>
        </w:rPr>
        <w:t>παρόν κείμενο</w:t>
      </w:r>
      <w:r w:rsidR="00FD68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l-GR"/>
        </w:rPr>
        <w:t xml:space="preserve">εκφράζουν </w:t>
      </w:r>
      <w:r w:rsidR="00672AFF">
        <w:rPr>
          <w:rFonts w:ascii="Times New Roman" w:hAnsi="Times New Roman" w:cs="Times New Roman"/>
          <w:lang w:val="el-GR"/>
        </w:rPr>
        <w:t>αποκλειστικά</w:t>
      </w:r>
      <w:r>
        <w:rPr>
          <w:rFonts w:ascii="Times New Roman" w:hAnsi="Times New Roman" w:cs="Times New Roman"/>
          <w:lang w:val="el-GR"/>
        </w:rPr>
        <w:t xml:space="preserve"> τον </w:t>
      </w:r>
      <w:r w:rsidR="00672AFF">
        <w:rPr>
          <w:rFonts w:ascii="Times New Roman" w:hAnsi="Times New Roman" w:cs="Times New Roman"/>
          <w:lang w:val="el-GR"/>
        </w:rPr>
        <w:t>συγγραφέα</w:t>
      </w:r>
      <w:r>
        <w:rPr>
          <w:rFonts w:ascii="Times New Roman" w:hAnsi="Times New Roman" w:cs="Times New Roman"/>
          <w:lang w:val="el-GR"/>
        </w:rPr>
        <w:t xml:space="preserve"> </w:t>
      </w:r>
      <w:r w:rsidR="00FD6843">
        <w:rPr>
          <w:rFonts w:ascii="Times New Roman" w:hAnsi="Times New Roman" w:cs="Times New Roman"/>
        </w:rPr>
        <w:t>και δεν αντικατοπτρίζουν κατ’ ανάγκη τις απόψεις ή τις θέσεις του Δικαστηρίου της Ευρωπαϊκής Ένωσης.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91EA0"/>
    <w:multiLevelType w:val="hybridMultilevel"/>
    <w:tmpl w:val="15E084D2"/>
    <w:lvl w:ilvl="0" w:tplc="D9B200DA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40"/>
    <w:rsid w:val="00003B01"/>
    <w:rsid w:val="00003B48"/>
    <w:rsid w:val="00015801"/>
    <w:rsid w:val="00015BCC"/>
    <w:rsid w:val="00027B75"/>
    <w:rsid w:val="00030C91"/>
    <w:rsid w:val="00034E0A"/>
    <w:rsid w:val="00054766"/>
    <w:rsid w:val="00056858"/>
    <w:rsid w:val="0005782A"/>
    <w:rsid w:val="0006647C"/>
    <w:rsid w:val="0007227F"/>
    <w:rsid w:val="00073C03"/>
    <w:rsid w:val="0007772A"/>
    <w:rsid w:val="000A07C8"/>
    <w:rsid w:val="000C3348"/>
    <w:rsid w:val="000D0AC9"/>
    <w:rsid w:val="000D3B19"/>
    <w:rsid w:val="00110E18"/>
    <w:rsid w:val="001222B7"/>
    <w:rsid w:val="0012376E"/>
    <w:rsid w:val="001450F4"/>
    <w:rsid w:val="001523AD"/>
    <w:rsid w:val="001656DF"/>
    <w:rsid w:val="00171F71"/>
    <w:rsid w:val="001779EF"/>
    <w:rsid w:val="00182272"/>
    <w:rsid w:val="00191204"/>
    <w:rsid w:val="00195743"/>
    <w:rsid w:val="00197F75"/>
    <w:rsid w:val="001A2F07"/>
    <w:rsid w:val="001B01BD"/>
    <w:rsid w:val="001B30B8"/>
    <w:rsid w:val="001B3316"/>
    <w:rsid w:val="001B7BA2"/>
    <w:rsid w:val="001C7411"/>
    <w:rsid w:val="001C79B9"/>
    <w:rsid w:val="001D03A4"/>
    <w:rsid w:val="001E5E14"/>
    <w:rsid w:val="001F02D0"/>
    <w:rsid w:val="0022028D"/>
    <w:rsid w:val="002242ED"/>
    <w:rsid w:val="002529A5"/>
    <w:rsid w:val="002920FF"/>
    <w:rsid w:val="002A1DB6"/>
    <w:rsid w:val="002A5512"/>
    <w:rsid w:val="002C5089"/>
    <w:rsid w:val="002D5C95"/>
    <w:rsid w:val="002E0C18"/>
    <w:rsid w:val="002F40FB"/>
    <w:rsid w:val="00304A84"/>
    <w:rsid w:val="0030552B"/>
    <w:rsid w:val="003066E5"/>
    <w:rsid w:val="0032481F"/>
    <w:rsid w:val="003320FF"/>
    <w:rsid w:val="003362EE"/>
    <w:rsid w:val="00351C35"/>
    <w:rsid w:val="00375773"/>
    <w:rsid w:val="00386107"/>
    <w:rsid w:val="0039552A"/>
    <w:rsid w:val="00396C71"/>
    <w:rsid w:val="003E549E"/>
    <w:rsid w:val="003F701B"/>
    <w:rsid w:val="004359FD"/>
    <w:rsid w:val="0043602C"/>
    <w:rsid w:val="0045625F"/>
    <w:rsid w:val="00470772"/>
    <w:rsid w:val="00471009"/>
    <w:rsid w:val="00484D5A"/>
    <w:rsid w:val="004C27D2"/>
    <w:rsid w:val="004E0D6F"/>
    <w:rsid w:val="004E2D58"/>
    <w:rsid w:val="00537D90"/>
    <w:rsid w:val="005471D1"/>
    <w:rsid w:val="00552A48"/>
    <w:rsid w:val="005769D9"/>
    <w:rsid w:val="005776A3"/>
    <w:rsid w:val="005829A6"/>
    <w:rsid w:val="0058434E"/>
    <w:rsid w:val="005868DC"/>
    <w:rsid w:val="005B2C70"/>
    <w:rsid w:val="005F2DF3"/>
    <w:rsid w:val="005F7188"/>
    <w:rsid w:val="006263C3"/>
    <w:rsid w:val="00642F17"/>
    <w:rsid w:val="006434F5"/>
    <w:rsid w:val="00646EC1"/>
    <w:rsid w:val="006533A5"/>
    <w:rsid w:val="00661EC0"/>
    <w:rsid w:val="00672AFF"/>
    <w:rsid w:val="006839D8"/>
    <w:rsid w:val="006B0EF3"/>
    <w:rsid w:val="006C2726"/>
    <w:rsid w:val="006C5E0B"/>
    <w:rsid w:val="006C63DB"/>
    <w:rsid w:val="006E72BA"/>
    <w:rsid w:val="0071070C"/>
    <w:rsid w:val="00714A7B"/>
    <w:rsid w:val="00727B0F"/>
    <w:rsid w:val="00756DD0"/>
    <w:rsid w:val="007953C3"/>
    <w:rsid w:val="0079621C"/>
    <w:rsid w:val="007970D8"/>
    <w:rsid w:val="007C3616"/>
    <w:rsid w:val="007E6592"/>
    <w:rsid w:val="007E7C46"/>
    <w:rsid w:val="007F7C9D"/>
    <w:rsid w:val="00812C2C"/>
    <w:rsid w:val="00815DDC"/>
    <w:rsid w:val="00824750"/>
    <w:rsid w:val="0085552B"/>
    <w:rsid w:val="008602BE"/>
    <w:rsid w:val="0086372B"/>
    <w:rsid w:val="00873104"/>
    <w:rsid w:val="008A3843"/>
    <w:rsid w:val="008D48EE"/>
    <w:rsid w:val="008F750D"/>
    <w:rsid w:val="00911C76"/>
    <w:rsid w:val="0093407F"/>
    <w:rsid w:val="009369F3"/>
    <w:rsid w:val="009925C3"/>
    <w:rsid w:val="009A052E"/>
    <w:rsid w:val="009A5102"/>
    <w:rsid w:val="009F4D8E"/>
    <w:rsid w:val="00A17097"/>
    <w:rsid w:val="00A3597A"/>
    <w:rsid w:val="00A378BE"/>
    <w:rsid w:val="00A626DF"/>
    <w:rsid w:val="00A65618"/>
    <w:rsid w:val="00A73AD1"/>
    <w:rsid w:val="00A7701E"/>
    <w:rsid w:val="00A81DEA"/>
    <w:rsid w:val="00A82DC1"/>
    <w:rsid w:val="00A97743"/>
    <w:rsid w:val="00AC54CB"/>
    <w:rsid w:val="00AD5075"/>
    <w:rsid w:val="00B05D9F"/>
    <w:rsid w:val="00B62BBB"/>
    <w:rsid w:val="00B675EE"/>
    <w:rsid w:val="00B72E08"/>
    <w:rsid w:val="00B8663A"/>
    <w:rsid w:val="00B90487"/>
    <w:rsid w:val="00BA1E6A"/>
    <w:rsid w:val="00BB62EA"/>
    <w:rsid w:val="00BC6D39"/>
    <w:rsid w:val="00BF1CDA"/>
    <w:rsid w:val="00BF29FF"/>
    <w:rsid w:val="00C11FB7"/>
    <w:rsid w:val="00C12183"/>
    <w:rsid w:val="00C17644"/>
    <w:rsid w:val="00C27411"/>
    <w:rsid w:val="00C30276"/>
    <w:rsid w:val="00C37048"/>
    <w:rsid w:val="00C41635"/>
    <w:rsid w:val="00C5127C"/>
    <w:rsid w:val="00C56574"/>
    <w:rsid w:val="00C74B98"/>
    <w:rsid w:val="00C91E7C"/>
    <w:rsid w:val="00CA0F23"/>
    <w:rsid w:val="00CA1019"/>
    <w:rsid w:val="00CB08C5"/>
    <w:rsid w:val="00CB743D"/>
    <w:rsid w:val="00CB7C37"/>
    <w:rsid w:val="00CC5515"/>
    <w:rsid w:val="00CC6D41"/>
    <w:rsid w:val="00CF2FC8"/>
    <w:rsid w:val="00CF778E"/>
    <w:rsid w:val="00CF79E5"/>
    <w:rsid w:val="00D065F8"/>
    <w:rsid w:val="00D13749"/>
    <w:rsid w:val="00D15A4E"/>
    <w:rsid w:val="00D24591"/>
    <w:rsid w:val="00D3075B"/>
    <w:rsid w:val="00D34CEC"/>
    <w:rsid w:val="00D527C5"/>
    <w:rsid w:val="00D73BA4"/>
    <w:rsid w:val="00D825CD"/>
    <w:rsid w:val="00D91FFE"/>
    <w:rsid w:val="00DA50B5"/>
    <w:rsid w:val="00DB5393"/>
    <w:rsid w:val="00DC1CFA"/>
    <w:rsid w:val="00DE0207"/>
    <w:rsid w:val="00DE1228"/>
    <w:rsid w:val="00E30940"/>
    <w:rsid w:val="00E31106"/>
    <w:rsid w:val="00E42C33"/>
    <w:rsid w:val="00E6220A"/>
    <w:rsid w:val="00E6229A"/>
    <w:rsid w:val="00E62531"/>
    <w:rsid w:val="00E73BB3"/>
    <w:rsid w:val="00E742BA"/>
    <w:rsid w:val="00E9385C"/>
    <w:rsid w:val="00ED1060"/>
    <w:rsid w:val="00EE397D"/>
    <w:rsid w:val="00EF3F0A"/>
    <w:rsid w:val="00F05BB6"/>
    <w:rsid w:val="00F55470"/>
    <w:rsid w:val="00F63D50"/>
    <w:rsid w:val="00F66580"/>
    <w:rsid w:val="00F7464F"/>
    <w:rsid w:val="00F819DB"/>
    <w:rsid w:val="00F8683C"/>
    <w:rsid w:val="00F93692"/>
    <w:rsid w:val="00FA5E15"/>
    <w:rsid w:val="00FC3042"/>
    <w:rsid w:val="00FC7414"/>
    <w:rsid w:val="00FD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9837"/>
  <w15:chartTrackingRefBased/>
  <w15:docId w15:val="{075884BF-31B9-452B-AB75-F489ED47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l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Ref,de nota al pie,註腳內容,JFR-Fußnotenzeichen,*Footnote Reference,Fußnotenzeichen_neu,Fußnotentext2,de nota al pie + (Asian) MS Mincho,11 pt,Footnote number,RSC_WP (footnote reference),Fußnotenzeichen unten,de nota al pie + 12 pt"/>
    <w:uiPriority w:val="99"/>
    <w:unhideWhenUsed/>
    <w:qFormat/>
    <w:rsid w:val="00E30940"/>
    <w:rPr>
      <w:vertAlign w:val="superscript"/>
    </w:rPr>
  </w:style>
  <w:style w:type="paragraph" w:styleId="FootnoteText">
    <w:name w:val="footnote text"/>
    <w:aliases w:val="Carattere,FA,FA Fußnotentext,fn"/>
    <w:basedOn w:val="Normal"/>
    <w:link w:val="FootnoteTextChar"/>
    <w:uiPriority w:val="99"/>
    <w:unhideWhenUsed/>
    <w:rsid w:val="00E30940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aliases w:val="Carattere Char,FA Char,FA Fußnotentext Char,fn Char"/>
    <w:basedOn w:val="DefaultParagraphFont"/>
    <w:link w:val="FootnoteText"/>
    <w:uiPriority w:val="99"/>
    <w:rsid w:val="00E30940"/>
    <w:rPr>
      <w:sz w:val="20"/>
    </w:rPr>
  </w:style>
  <w:style w:type="character" w:styleId="Emphasis">
    <w:name w:val="Emphasis"/>
    <w:basedOn w:val="DefaultParagraphFont"/>
    <w:uiPriority w:val="20"/>
    <w:qFormat/>
    <w:rsid w:val="00E30940"/>
    <w:rPr>
      <w:i/>
    </w:rPr>
  </w:style>
  <w:style w:type="paragraph" w:styleId="ListParagraph">
    <w:name w:val="List Paragraph"/>
    <w:basedOn w:val="Normal"/>
    <w:uiPriority w:val="34"/>
    <w:qFormat/>
    <w:rsid w:val="00C74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276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76"/>
    <w:rPr>
      <w:rFonts w:ascii="Segoe UI" w:hAnsi="Segoe UI" w:cs="Segoe U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79B9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9B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9B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9B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9B9"/>
    <w:rPr>
      <w:b/>
      <w:sz w:val="20"/>
    </w:rPr>
  </w:style>
  <w:style w:type="paragraph" w:customStyle="1" w:styleId="P68B1DB1-Normal1">
    <w:name w:val="P68B1DB1-Normal1"/>
    <w:basedOn w:val="Normal"/>
    <w:rPr>
      <w:rFonts w:ascii="Times New Roman" w:hAnsi="Times New Roman" w:cs="Times New Roman"/>
      <w:b/>
      <w:smallCaps/>
      <w:sz w:val="32"/>
    </w:rPr>
  </w:style>
  <w:style w:type="paragraph" w:customStyle="1" w:styleId="P68B1DB1-Normal2">
    <w:name w:val="P68B1DB1-Normal2"/>
    <w:basedOn w:val="Normal"/>
    <w:rPr>
      <w:rFonts w:ascii="Times New Roman" w:hAnsi="Times New Roman" w:cs="Times New Roman"/>
      <w:b/>
      <w:smallCaps/>
    </w:rPr>
  </w:style>
  <w:style w:type="paragraph" w:customStyle="1" w:styleId="P68B1DB1-Normal3">
    <w:name w:val="P68B1DB1-Normal3"/>
    <w:basedOn w:val="Normal"/>
    <w:rPr>
      <w:rFonts w:ascii="Times New Roman" w:hAnsi="Times New Roman" w:cs="Times New Roman"/>
      <w:sz w:val="24"/>
    </w:rPr>
  </w:style>
  <w:style w:type="paragraph" w:customStyle="1" w:styleId="P68B1DB1-Normal4">
    <w:name w:val="P68B1DB1-Normal4"/>
    <w:basedOn w:val="Normal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38343-B0B0-411D-97EF-F4F875BF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1666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 de Justice de L'U.E.</Company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 Antoine</dc:creator>
  <cp:keywords/>
  <dc:description/>
  <cp:lastModifiedBy>Emiliou Nicholas</cp:lastModifiedBy>
  <cp:revision>6</cp:revision>
  <cp:lastPrinted>2022-10-10T14:55:00Z</cp:lastPrinted>
  <dcterms:created xsi:type="dcterms:W3CDTF">2022-10-26T12:58:00Z</dcterms:created>
  <dcterms:modified xsi:type="dcterms:W3CDTF">2022-11-08T09:07:00Z</dcterms:modified>
</cp:coreProperties>
</file>